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D43DDD" w14:textId="3169FE4B" w:rsidR="00B837CB" w:rsidRPr="00CD1C84" w:rsidRDefault="00997C98" w:rsidP="0369AF28">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2"/>
        </w:tabs>
        <w:jc w:val="right"/>
        <w:outlineLvl w:val="0"/>
        <w:rPr>
          <w:rFonts w:asciiTheme="minorHAnsi" w:hAnsiTheme="minorHAnsi" w:cstheme="minorBidi"/>
          <w:b/>
          <w:bCs/>
          <w:sz w:val="20"/>
          <w:szCs w:val="20"/>
          <w:lang w:val="en-US"/>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sidR="4A38E8B0" w:rsidRPr="0369AF28">
        <w:rPr>
          <w:rFonts w:asciiTheme="minorHAnsi" w:hAnsiTheme="minorHAnsi" w:cstheme="minorBidi"/>
          <w:lang w:val="en-US"/>
        </w:rPr>
        <w:t xml:space="preserve">            </w:t>
      </w:r>
      <w:r w:rsidR="36142584" w:rsidRPr="0369AF28">
        <w:rPr>
          <w:rFonts w:asciiTheme="minorHAnsi" w:hAnsiTheme="minorHAnsi" w:cstheme="minorBidi"/>
          <w:lang w:val="en-US"/>
        </w:rPr>
        <w:t>Les Ulis</w:t>
      </w:r>
      <w:r w:rsidR="4A38E8B0" w:rsidRPr="0369AF28">
        <w:rPr>
          <w:rFonts w:asciiTheme="minorHAnsi" w:hAnsiTheme="minorHAnsi" w:cstheme="minorBidi"/>
          <w:lang w:val="en-US"/>
        </w:rPr>
        <w:t xml:space="preserve">, </w:t>
      </w:r>
      <w:r w:rsidR="6EC6C1A1" w:rsidRPr="0369AF28">
        <w:rPr>
          <w:rFonts w:asciiTheme="minorHAnsi" w:hAnsiTheme="minorHAnsi" w:cstheme="minorBidi"/>
          <w:lang w:val="en-US"/>
        </w:rPr>
        <w:t>Ju</w:t>
      </w:r>
      <w:r w:rsidR="2EE96429" w:rsidRPr="0369AF28">
        <w:rPr>
          <w:rFonts w:asciiTheme="minorHAnsi" w:hAnsiTheme="minorHAnsi" w:cstheme="minorBidi"/>
          <w:lang w:val="en-US"/>
        </w:rPr>
        <w:t>ne 17</w:t>
      </w:r>
      <w:r w:rsidR="680BB228" w:rsidRPr="0369AF28">
        <w:rPr>
          <w:rFonts w:asciiTheme="minorHAnsi" w:hAnsiTheme="minorHAnsi" w:cstheme="minorBidi"/>
          <w:lang w:val="en-US"/>
        </w:rPr>
        <w:t xml:space="preserve">, </w:t>
      </w:r>
      <w:proofErr w:type="gramStart"/>
      <w:r w:rsidR="710AAEF3" w:rsidRPr="0369AF28">
        <w:rPr>
          <w:rFonts w:asciiTheme="minorHAnsi" w:hAnsiTheme="minorHAnsi" w:cstheme="minorBidi"/>
          <w:lang w:val="en-US"/>
        </w:rPr>
        <w:t>202</w:t>
      </w:r>
      <w:r w:rsidR="30A59DBC" w:rsidRPr="0369AF28">
        <w:rPr>
          <w:rFonts w:asciiTheme="minorHAnsi" w:hAnsiTheme="minorHAnsi" w:cstheme="minorBidi"/>
          <w:lang w:val="en-US"/>
        </w:rPr>
        <w:t>5</w:t>
      </w:r>
      <w:proofErr w:type="gramEnd"/>
      <w:r w:rsidR="710AAEF3" w:rsidRPr="0369AF28">
        <w:rPr>
          <w:rFonts w:asciiTheme="minorHAnsi" w:hAnsiTheme="minorHAnsi" w:cstheme="minorBidi"/>
          <w:lang w:val="en-US"/>
        </w:rPr>
        <w:t xml:space="preserve"> </w:t>
      </w:r>
      <w:r w:rsidR="4A38E8B0" w:rsidRPr="0369AF28">
        <w:rPr>
          <w:rFonts w:asciiTheme="minorHAnsi" w:hAnsiTheme="minorHAnsi" w:cstheme="minorBidi"/>
          <w:lang w:val="en-US"/>
        </w:rPr>
        <w:t>at 7:00 a.m.</w:t>
      </w:r>
    </w:p>
    <w:p w14:paraId="6A564F34" w14:textId="77777777" w:rsidR="00B55116" w:rsidRPr="00CD1C84" w:rsidRDefault="00B55116" w:rsidP="00B55116">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2"/>
        </w:tabs>
        <w:jc w:val="center"/>
        <w:outlineLvl w:val="0"/>
        <w:rPr>
          <w:rFonts w:asciiTheme="minorHAnsi" w:hAnsiTheme="minorHAnsi" w:cstheme="minorHAnsi"/>
          <w:b/>
          <w:sz w:val="20"/>
          <w:szCs w:val="20"/>
          <w:lang w:val="en-US"/>
        </w:rPr>
      </w:pPr>
    </w:p>
    <w:p w14:paraId="0C296AEA" w14:textId="7C274644" w:rsidR="00B837CB" w:rsidRPr="00E247A2" w:rsidRDefault="1FD78855" w:rsidP="18214F01">
      <w:pPr>
        <w:numPr>
          <w:ilvl w:val="0"/>
          <w:numId w:val="34"/>
        </w:numPr>
        <w:spacing w:after="80"/>
        <w:jc w:val="both"/>
        <w:outlineLvl w:val="0"/>
        <w:rPr>
          <w:rFonts w:asciiTheme="minorHAnsi" w:hAnsiTheme="minorHAnsi" w:cstheme="minorBidi"/>
          <w:b/>
          <w:bCs/>
          <w:caps/>
          <w:sz w:val="28"/>
          <w:szCs w:val="28"/>
          <w:lang w:val="en-US"/>
        </w:rPr>
      </w:pPr>
      <w:r w:rsidRPr="18214F01">
        <w:rPr>
          <w:rFonts w:asciiTheme="minorHAnsi" w:hAnsiTheme="minorHAnsi" w:cstheme="minorBidi"/>
          <w:b/>
          <w:bCs/>
          <w:caps/>
          <w:sz w:val="28"/>
          <w:szCs w:val="28"/>
          <w:lang w:val="en-US"/>
        </w:rPr>
        <w:t xml:space="preserve">ANNUAL RESULTS 2024-25 for the Lexibook GROUP: ANNUAL REVENUE AT €74.0M (+26.3%). EBIT AND NET INCOME UP, AT €8.1M AND €7.4M RESPECTIVELY, THANKS TO AN EXCEPTIONAL COMBINATION OF POSITIVE FACTORS. </w:t>
      </w:r>
      <w:r w:rsidR="00E247A2" w:rsidRPr="00E247A2">
        <w:rPr>
          <w:rFonts w:asciiTheme="minorHAnsi" w:hAnsiTheme="minorHAnsi" w:cstheme="minorBidi"/>
          <w:b/>
          <w:bCs/>
          <w:caps/>
          <w:sz w:val="28"/>
          <w:szCs w:val="28"/>
          <w:lang w:val="en-US"/>
        </w:rPr>
        <w:t xml:space="preserve">uncertain </w:t>
      </w:r>
      <w:r w:rsidRPr="18214F01">
        <w:rPr>
          <w:rFonts w:asciiTheme="minorHAnsi" w:hAnsiTheme="minorHAnsi" w:cstheme="minorBidi"/>
          <w:b/>
          <w:bCs/>
          <w:caps/>
          <w:sz w:val="28"/>
          <w:szCs w:val="28"/>
          <w:lang w:val="en-US"/>
        </w:rPr>
        <w:t xml:space="preserve">OUTLOOK for the 2025-26 FISCAL YEAR </w:t>
      </w:r>
      <w:r w:rsidR="00E247A2">
        <w:rPr>
          <w:rFonts w:asciiTheme="minorHAnsi" w:hAnsiTheme="minorHAnsi" w:cstheme="minorBidi"/>
          <w:b/>
          <w:bCs/>
          <w:caps/>
          <w:sz w:val="28"/>
          <w:szCs w:val="28"/>
          <w:lang w:val="en-US"/>
        </w:rPr>
        <w:t>due to</w:t>
      </w:r>
      <w:r w:rsidRPr="18214F01">
        <w:rPr>
          <w:rFonts w:asciiTheme="minorHAnsi" w:hAnsiTheme="minorHAnsi" w:cstheme="minorBidi"/>
          <w:b/>
          <w:bCs/>
          <w:caps/>
          <w:sz w:val="28"/>
          <w:szCs w:val="28"/>
          <w:lang w:val="en-US"/>
        </w:rPr>
        <w:t xml:space="preserve"> HIGH </w:t>
      </w:r>
      <w:r w:rsidR="00E247A2" w:rsidRPr="00E247A2">
        <w:rPr>
          <w:rFonts w:asciiTheme="minorHAnsi" w:hAnsiTheme="minorHAnsi" w:cstheme="minorBidi"/>
          <w:b/>
          <w:bCs/>
          <w:caps/>
          <w:sz w:val="28"/>
          <w:szCs w:val="28"/>
          <w:lang w:val="en-US"/>
        </w:rPr>
        <w:t xml:space="preserve">unpredictability </w:t>
      </w:r>
      <w:r w:rsidRPr="18214F01">
        <w:rPr>
          <w:rFonts w:asciiTheme="minorHAnsi" w:hAnsiTheme="minorHAnsi" w:cstheme="minorBidi"/>
          <w:b/>
          <w:bCs/>
          <w:caps/>
          <w:sz w:val="28"/>
          <w:szCs w:val="28"/>
          <w:lang w:val="en-US"/>
        </w:rPr>
        <w:t>REGARDING U.S. CUSTOMS DUTIES, FREIGHT COSTS, EXCHANGE RATES, AND CONSUMPTION.</w:t>
      </w:r>
      <w:r w:rsidR="5218AB83" w:rsidRPr="00E247A2">
        <w:rPr>
          <w:rFonts w:asciiTheme="minorHAnsi" w:hAnsiTheme="minorHAnsi" w:cstheme="minorBidi"/>
          <w:b/>
          <w:bCs/>
          <w:caps/>
          <w:sz w:val="28"/>
          <w:szCs w:val="28"/>
          <w:lang w:val="en-US"/>
        </w:rPr>
        <w:t xml:space="preserve"> </w:t>
      </w:r>
    </w:p>
    <w:p w14:paraId="2BF75180" w14:textId="77777777" w:rsidR="0DDC1580" w:rsidRPr="00CD1C84" w:rsidRDefault="0DDC1580" w:rsidP="0DDC1580">
      <w:pPr>
        <w:spacing w:after="80"/>
        <w:ind w:left="360"/>
        <w:jc w:val="both"/>
        <w:outlineLvl w:val="0"/>
        <w:rPr>
          <w:rFonts w:asciiTheme="minorHAnsi" w:hAnsiTheme="minorHAnsi" w:cstheme="minorBidi"/>
          <w:b/>
          <w:bCs/>
          <w:caps/>
          <w:sz w:val="32"/>
          <w:szCs w:val="32"/>
          <w:lang w:val="en-US"/>
        </w:rPr>
      </w:pPr>
    </w:p>
    <w:p w14:paraId="7CC3D7BE" w14:textId="28E43C59" w:rsidR="29C99D17" w:rsidRDefault="29C99D17" w:rsidP="0369AF28">
      <w:pPr>
        <w:numPr>
          <w:ilvl w:val="0"/>
          <w:numId w:val="27"/>
        </w:numPr>
        <w:spacing w:after="80"/>
        <w:jc w:val="both"/>
        <w:outlineLvl w:val="0"/>
        <w:rPr>
          <w:rFonts w:cs="Calibri"/>
          <w:b/>
          <w:bCs/>
          <w:sz w:val="24"/>
          <w:szCs w:val="24"/>
          <w:lang w:val="en-US"/>
        </w:rPr>
      </w:pPr>
      <w:r w:rsidRPr="0369AF28">
        <w:rPr>
          <w:rFonts w:cs="Calibri"/>
          <w:b/>
          <w:bCs/>
          <w:sz w:val="24"/>
          <w:szCs w:val="24"/>
          <w:lang w:val="en-US"/>
        </w:rPr>
        <w:t>Annual Revenue: A record fiscal year after 5 consecutive years of growth. For the full fiscal year, which had already grown by 14.4% in 23-24, revenue rose again by 26.3% to €74.0M vs €58.6M a year earlier, notably thanks to the performance of licensed products.</w:t>
      </w:r>
    </w:p>
    <w:p w14:paraId="38E56C48" w14:textId="76EB45E6" w:rsidR="29C99D17" w:rsidRDefault="29C99D17" w:rsidP="0369AF28">
      <w:pPr>
        <w:pStyle w:val="Paragraphedeliste"/>
        <w:numPr>
          <w:ilvl w:val="0"/>
          <w:numId w:val="27"/>
        </w:numPr>
        <w:spacing w:before="240" w:after="240"/>
        <w:jc w:val="both"/>
        <w:rPr>
          <w:rFonts w:cs="Calibri"/>
          <w:b/>
          <w:bCs/>
          <w:lang w:val="en-US"/>
        </w:rPr>
      </w:pPr>
      <w:r w:rsidRPr="0369AF28">
        <w:rPr>
          <w:rFonts w:cs="Calibri"/>
          <w:b/>
          <w:bCs/>
          <w:sz w:val="24"/>
          <w:szCs w:val="24"/>
          <w:lang w:val="en-US"/>
        </w:rPr>
        <w:t xml:space="preserve">In </w:t>
      </w:r>
      <w:proofErr w:type="gramStart"/>
      <w:r w:rsidRPr="0369AF28">
        <w:rPr>
          <w:rFonts w:cs="Calibri"/>
          <w:b/>
          <w:bCs/>
          <w:sz w:val="24"/>
          <w:szCs w:val="24"/>
          <w:lang w:val="en-US"/>
        </w:rPr>
        <w:t>a context</w:t>
      </w:r>
      <w:proofErr w:type="gramEnd"/>
      <w:r w:rsidRPr="0369AF28">
        <w:rPr>
          <w:rFonts w:cs="Calibri"/>
          <w:b/>
          <w:bCs/>
          <w:sz w:val="24"/>
          <w:szCs w:val="24"/>
          <w:lang w:val="en-US"/>
        </w:rPr>
        <w:t xml:space="preserve"> of euro depreciation against the USD of around 1.0% over one year, and a very significant increase in freight costs, the Group’s margins remained stable as Lexibook managed to maintain or even selectively increase its prices and continued to launch new highly profitable products. The adjusted net margin for the year thus stood at 38.7% vs 38.6% the previous year, representing an increase of €6.0M vs the previous year due to increased activity.</w:t>
      </w:r>
    </w:p>
    <w:p w14:paraId="72703B07" w14:textId="4173FE4B" w:rsidR="29C99D17" w:rsidRDefault="29C99D17" w:rsidP="0369AF28">
      <w:pPr>
        <w:pStyle w:val="Paragraphedeliste"/>
        <w:numPr>
          <w:ilvl w:val="0"/>
          <w:numId w:val="27"/>
        </w:numPr>
        <w:spacing w:before="240" w:after="240"/>
        <w:jc w:val="both"/>
        <w:rPr>
          <w:rFonts w:cs="Calibri"/>
          <w:b/>
          <w:bCs/>
          <w:lang w:val="en-US"/>
        </w:rPr>
      </w:pPr>
      <w:r w:rsidRPr="0369AF28">
        <w:rPr>
          <w:rFonts w:cs="Calibri"/>
          <w:b/>
          <w:bCs/>
          <w:sz w:val="24"/>
          <w:szCs w:val="24"/>
          <w:lang w:val="en-US"/>
        </w:rPr>
        <w:t>Massive Digital Advertising Campaign: The Group once again generated over one billion impressions on Lexibook products over the year in both Europe and the USA.</w:t>
      </w:r>
    </w:p>
    <w:p w14:paraId="35926AFF" w14:textId="1A30F0B9" w:rsidR="29C99D17" w:rsidRDefault="29C99D17" w:rsidP="0369AF28">
      <w:pPr>
        <w:pStyle w:val="Paragraphedeliste"/>
        <w:numPr>
          <w:ilvl w:val="0"/>
          <w:numId w:val="27"/>
        </w:numPr>
        <w:spacing w:before="240" w:after="240"/>
        <w:jc w:val="both"/>
        <w:rPr>
          <w:rFonts w:cs="Calibri"/>
          <w:b/>
          <w:bCs/>
          <w:lang w:val="en-US"/>
        </w:rPr>
      </w:pPr>
      <w:r w:rsidRPr="0369AF28">
        <w:rPr>
          <w:rFonts w:cs="Calibri"/>
          <w:b/>
          <w:bCs/>
          <w:sz w:val="24"/>
          <w:szCs w:val="24"/>
          <w:lang w:val="en-US"/>
        </w:rPr>
        <w:t>EBIT: +€2.1M, up 36.1%, thanks to volume and margin growth despite the advertising investment.</w:t>
      </w:r>
    </w:p>
    <w:p w14:paraId="53111CC5" w14:textId="5E17EB59" w:rsidR="29C99D17" w:rsidRDefault="29C99D17" w:rsidP="0369AF28">
      <w:pPr>
        <w:pStyle w:val="Paragraphedeliste"/>
        <w:numPr>
          <w:ilvl w:val="0"/>
          <w:numId w:val="27"/>
        </w:numPr>
        <w:spacing w:before="240" w:after="240"/>
        <w:jc w:val="both"/>
        <w:rPr>
          <w:rFonts w:cs="Calibri"/>
          <w:b/>
          <w:bCs/>
          <w:lang w:val="en-US"/>
        </w:rPr>
      </w:pPr>
      <w:r w:rsidRPr="0369AF28">
        <w:rPr>
          <w:rFonts w:cs="Calibri"/>
          <w:b/>
          <w:bCs/>
          <w:sz w:val="24"/>
          <w:szCs w:val="24"/>
          <w:lang w:val="en-US"/>
        </w:rPr>
        <w:t>EBITDA: €9.7M, or +€2.3M vs the previous year. Up 30.3%.</w:t>
      </w:r>
    </w:p>
    <w:p w14:paraId="20FFA8D2" w14:textId="5855D1C2" w:rsidR="29C99D17" w:rsidRDefault="29C99D17" w:rsidP="0369AF28">
      <w:pPr>
        <w:pStyle w:val="Paragraphedeliste"/>
        <w:numPr>
          <w:ilvl w:val="0"/>
          <w:numId w:val="27"/>
        </w:numPr>
        <w:spacing w:before="240" w:after="240"/>
        <w:jc w:val="both"/>
        <w:rPr>
          <w:rFonts w:cs="Calibri"/>
          <w:b/>
          <w:bCs/>
          <w:lang w:val="en-US"/>
        </w:rPr>
      </w:pPr>
      <w:r w:rsidRPr="0369AF28">
        <w:rPr>
          <w:rFonts w:cs="Calibri"/>
          <w:b/>
          <w:bCs/>
          <w:sz w:val="24"/>
          <w:szCs w:val="24"/>
          <w:lang w:val="en-US"/>
        </w:rPr>
        <w:t>Financial Result: +€0.2M vs -€0.2M, thanks to the foreign exchange hedging put in place.</w:t>
      </w:r>
    </w:p>
    <w:p w14:paraId="62145B55" w14:textId="4F2AFCAE" w:rsidR="29C99D17" w:rsidRDefault="29C99D17" w:rsidP="0369AF28">
      <w:pPr>
        <w:pStyle w:val="Paragraphedeliste"/>
        <w:numPr>
          <w:ilvl w:val="0"/>
          <w:numId w:val="27"/>
        </w:numPr>
        <w:spacing w:before="240" w:after="240"/>
        <w:jc w:val="both"/>
        <w:rPr>
          <w:rFonts w:cs="Calibri"/>
          <w:b/>
          <w:bCs/>
          <w:lang w:val="en-US"/>
        </w:rPr>
      </w:pPr>
      <w:r w:rsidRPr="0369AF28">
        <w:rPr>
          <w:rFonts w:cs="Calibri"/>
          <w:b/>
          <w:bCs/>
          <w:sz w:val="24"/>
          <w:szCs w:val="24"/>
          <w:lang w:val="en-US"/>
        </w:rPr>
        <w:t>Net Income: €7.4M vs €5.0M in FY23-24.</w:t>
      </w:r>
    </w:p>
    <w:p w14:paraId="706F0AA6" w14:textId="44BA1E70" w:rsidR="29C99D17" w:rsidRDefault="29C99D17" w:rsidP="0369AF28">
      <w:pPr>
        <w:pStyle w:val="Paragraphedeliste"/>
        <w:numPr>
          <w:ilvl w:val="0"/>
          <w:numId w:val="27"/>
        </w:numPr>
        <w:spacing w:before="240" w:after="240"/>
        <w:jc w:val="both"/>
        <w:rPr>
          <w:rFonts w:cs="Calibri"/>
          <w:b/>
          <w:bCs/>
          <w:lang w:val="en-US"/>
        </w:rPr>
      </w:pPr>
      <w:r w:rsidRPr="0369AF28">
        <w:rPr>
          <w:rFonts w:cs="Calibri"/>
          <w:b/>
          <w:bCs/>
          <w:sz w:val="24"/>
          <w:szCs w:val="24"/>
          <w:lang w:val="en-US"/>
        </w:rPr>
        <w:t>The Group strengthened its net cash position, which stood at €7.1M at year-end, compared to €2.0M the previous year. This change is mainly due to the repayment of non-current liabilities (-€1.2M) and a net increase in cash (+€4.0M).</w:t>
      </w:r>
    </w:p>
    <w:p w14:paraId="2D41BB77" w14:textId="617FDFF4" w:rsidR="29C99D17" w:rsidRDefault="29C99D17" w:rsidP="0369AF28">
      <w:pPr>
        <w:pStyle w:val="Paragraphedeliste"/>
        <w:numPr>
          <w:ilvl w:val="0"/>
          <w:numId w:val="27"/>
        </w:numPr>
        <w:spacing w:before="240" w:after="240"/>
        <w:jc w:val="both"/>
        <w:rPr>
          <w:rFonts w:cs="Calibri"/>
          <w:b/>
          <w:bCs/>
          <w:lang w:val="en-US"/>
        </w:rPr>
      </w:pPr>
      <w:r w:rsidRPr="0369AF28">
        <w:rPr>
          <w:rFonts w:cs="Calibri"/>
          <w:b/>
          <w:bCs/>
          <w:sz w:val="24"/>
          <w:szCs w:val="24"/>
          <w:lang w:val="en-US"/>
        </w:rPr>
        <w:t>Equity, including the result for the 2024-2025 fiscal year, amounted to €24.4M, a historically high level for the Group.</w:t>
      </w:r>
    </w:p>
    <w:p w14:paraId="28F7E241" w14:textId="1C9A1C65" w:rsidR="29C99D17" w:rsidRDefault="29C99D17" w:rsidP="0369AF28">
      <w:pPr>
        <w:pStyle w:val="Paragraphedeliste"/>
        <w:numPr>
          <w:ilvl w:val="0"/>
          <w:numId w:val="27"/>
        </w:numPr>
        <w:spacing w:before="240" w:after="240"/>
        <w:jc w:val="both"/>
        <w:rPr>
          <w:rFonts w:cs="Calibri"/>
          <w:b/>
          <w:bCs/>
          <w:lang w:val="en-US"/>
        </w:rPr>
      </w:pPr>
      <w:r w:rsidRPr="0369AF28">
        <w:rPr>
          <w:rFonts w:cs="Calibri"/>
          <w:b/>
          <w:bCs/>
          <w:sz w:val="24"/>
          <w:szCs w:val="24"/>
          <w:lang w:val="en-US"/>
        </w:rPr>
        <w:t xml:space="preserve">2025-26 Outlook: Uncertainty regarding growth, which could be affected by a significant increase in U.S. customs duties due to the trade war between the United States and China, despite a strong Q1 expected thanks to the release of the </w:t>
      </w:r>
      <w:r w:rsidRPr="0369AF28">
        <w:rPr>
          <w:rFonts w:cs="Calibri"/>
          <w:b/>
          <w:bCs/>
          <w:i/>
          <w:iCs/>
          <w:sz w:val="24"/>
          <w:szCs w:val="24"/>
          <w:lang w:val="en-US"/>
        </w:rPr>
        <w:t>Stitch</w:t>
      </w:r>
      <w:r w:rsidRPr="0369AF28">
        <w:rPr>
          <w:rFonts w:cs="Calibri"/>
          <w:b/>
          <w:bCs/>
          <w:sz w:val="24"/>
          <w:szCs w:val="24"/>
          <w:lang w:val="en-US"/>
        </w:rPr>
        <w:t xml:space="preserve"> movie in May 2025.</w:t>
      </w:r>
    </w:p>
    <w:p w14:paraId="66B6E65C" w14:textId="6FC03FC0" w:rsidR="29C99D17" w:rsidRDefault="29C99D17" w:rsidP="0369AF28">
      <w:pPr>
        <w:pStyle w:val="Paragraphedeliste"/>
        <w:numPr>
          <w:ilvl w:val="0"/>
          <w:numId w:val="27"/>
        </w:numPr>
        <w:spacing w:before="240" w:after="240"/>
        <w:jc w:val="both"/>
        <w:rPr>
          <w:rFonts w:cs="Calibri"/>
          <w:b/>
          <w:bCs/>
          <w:lang w:val="en-US"/>
        </w:rPr>
      </w:pPr>
      <w:r w:rsidRPr="0369AF28">
        <w:rPr>
          <w:rFonts w:cs="Calibri"/>
          <w:b/>
          <w:bCs/>
          <w:sz w:val="24"/>
          <w:szCs w:val="24"/>
          <w:lang w:val="en-US"/>
        </w:rPr>
        <w:t>The current level of the U.S. Dollar against the euro implies a doubling of most foreign exchange hedging contracts at an unfavorable rate, which will impact the financial result this year.</w:t>
      </w:r>
    </w:p>
    <w:p w14:paraId="2E9B0B9D" w14:textId="01FB6301" w:rsidR="0369AF28" w:rsidRDefault="0369AF28" w:rsidP="0369AF28">
      <w:pPr>
        <w:numPr>
          <w:ilvl w:val="0"/>
          <w:numId w:val="27"/>
        </w:numPr>
        <w:spacing w:after="80"/>
        <w:jc w:val="both"/>
        <w:outlineLvl w:val="0"/>
        <w:rPr>
          <w:rFonts w:asciiTheme="minorHAnsi" w:hAnsiTheme="minorHAnsi" w:cstheme="minorBidi"/>
          <w:b/>
          <w:bCs/>
          <w:sz w:val="24"/>
          <w:szCs w:val="24"/>
          <w:lang w:val="en-US"/>
        </w:rPr>
        <w:sectPr w:rsidR="0369AF28" w:rsidSect="000B345C">
          <w:headerReference w:type="even" r:id="rId8"/>
          <w:headerReference w:type="default" r:id="rId9"/>
          <w:footerReference w:type="default" r:id="rId10"/>
          <w:headerReference w:type="first" r:id="rId11"/>
          <w:footnotePr>
            <w:numRestart w:val="eachPage"/>
          </w:footnotePr>
          <w:pgSz w:w="11906" w:h="16838" w:code="9"/>
          <w:pgMar w:top="720" w:right="720" w:bottom="720" w:left="720" w:header="709" w:footer="567" w:gutter="0"/>
          <w:cols w:space="708"/>
          <w:docGrid w:linePitch="360"/>
        </w:sectPr>
      </w:pPr>
    </w:p>
    <w:p w14:paraId="60BE2528" w14:textId="180F175F" w:rsidR="0082252D" w:rsidRPr="00CD1C84" w:rsidRDefault="00997C98" w:rsidP="0369AF28">
      <w:pPr>
        <w:pStyle w:val="Titre2"/>
        <w:spacing w:before="360" w:beforeAutospacing="0" w:after="0" w:afterAutospacing="0"/>
        <w:jc w:val="both"/>
        <w:rPr>
          <w:rFonts w:asciiTheme="minorHAnsi" w:hAnsiTheme="minorHAnsi" w:cstheme="minorBidi"/>
          <w:b w:val="0"/>
          <w:bCs w:val="0"/>
          <w:sz w:val="24"/>
          <w:szCs w:val="24"/>
          <w:lang w:val="en-US"/>
        </w:rPr>
      </w:pPr>
      <w:r w:rsidRPr="65E0E866">
        <w:rPr>
          <w:rFonts w:asciiTheme="minorHAnsi" w:hAnsiTheme="minorHAnsi" w:cstheme="minorBidi"/>
          <w:b w:val="0"/>
          <w:bCs w:val="0"/>
          <w:sz w:val="24"/>
          <w:szCs w:val="24"/>
          <w:lang w:val="en-US"/>
        </w:rPr>
        <w:lastRenderedPageBreak/>
        <w:t xml:space="preserve">Lexibook (ISIN </w:t>
      </w:r>
      <w:r w:rsidR="00D12722" w:rsidRPr="65E0E866">
        <w:rPr>
          <w:rFonts w:asciiTheme="minorHAnsi" w:hAnsiTheme="minorHAnsi" w:cstheme="minorBidi"/>
          <w:b w:val="0"/>
          <w:bCs w:val="0"/>
          <w:sz w:val="24"/>
          <w:szCs w:val="24"/>
          <w:lang w:val="en-US"/>
        </w:rPr>
        <w:t>FR0000033599</w:t>
      </w:r>
      <w:r w:rsidRPr="65E0E866">
        <w:rPr>
          <w:rFonts w:asciiTheme="minorHAnsi" w:hAnsiTheme="minorHAnsi" w:cstheme="minorBidi"/>
          <w:b w:val="0"/>
          <w:bCs w:val="0"/>
          <w:sz w:val="24"/>
          <w:szCs w:val="24"/>
          <w:lang w:val="en-US"/>
        </w:rPr>
        <w:t xml:space="preserve">) today announced its </w:t>
      </w:r>
      <w:r w:rsidR="00687638" w:rsidRPr="65E0E866">
        <w:rPr>
          <w:rFonts w:asciiTheme="minorHAnsi" w:hAnsiTheme="minorHAnsi" w:cstheme="minorBidi"/>
          <w:b w:val="0"/>
          <w:bCs w:val="0"/>
          <w:sz w:val="24"/>
          <w:szCs w:val="24"/>
          <w:lang w:val="en-US"/>
        </w:rPr>
        <w:t xml:space="preserve">annual </w:t>
      </w:r>
      <w:r w:rsidRPr="65E0E866">
        <w:rPr>
          <w:rFonts w:asciiTheme="minorHAnsi" w:hAnsiTheme="minorHAnsi" w:cstheme="minorBidi"/>
          <w:b w:val="0"/>
          <w:bCs w:val="0"/>
          <w:sz w:val="24"/>
          <w:szCs w:val="24"/>
          <w:lang w:val="en-US"/>
        </w:rPr>
        <w:t xml:space="preserve">financial statements for </w:t>
      </w:r>
      <w:r w:rsidR="00225BF7" w:rsidRPr="65E0E866">
        <w:rPr>
          <w:rFonts w:asciiTheme="minorHAnsi" w:hAnsiTheme="minorHAnsi" w:cstheme="minorBidi"/>
          <w:b w:val="0"/>
          <w:bCs w:val="0"/>
          <w:sz w:val="24"/>
          <w:szCs w:val="24"/>
          <w:lang w:val="en-US"/>
        </w:rPr>
        <w:t xml:space="preserve">the year </w:t>
      </w:r>
      <w:r w:rsidR="00981E8A" w:rsidRPr="65E0E866">
        <w:rPr>
          <w:rFonts w:asciiTheme="minorHAnsi" w:hAnsiTheme="minorHAnsi" w:cstheme="minorBidi"/>
          <w:b w:val="0"/>
          <w:bCs w:val="0"/>
          <w:sz w:val="24"/>
          <w:szCs w:val="24"/>
          <w:lang w:val="en-US"/>
        </w:rPr>
        <w:t xml:space="preserve">ended </w:t>
      </w:r>
      <w:r w:rsidR="00B711AF" w:rsidRPr="65E0E866">
        <w:rPr>
          <w:rFonts w:asciiTheme="minorHAnsi" w:hAnsiTheme="minorHAnsi" w:cstheme="minorBidi"/>
          <w:b w:val="0"/>
          <w:bCs w:val="0"/>
          <w:sz w:val="24"/>
          <w:szCs w:val="24"/>
          <w:lang w:val="en-US"/>
        </w:rPr>
        <w:t xml:space="preserve">March </w:t>
      </w:r>
      <w:r w:rsidR="00225BF7" w:rsidRPr="65E0E866">
        <w:rPr>
          <w:rFonts w:asciiTheme="minorHAnsi" w:hAnsiTheme="minorHAnsi" w:cstheme="minorBidi"/>
          <w:b w:val="0"/>
          <w:bCs w:val="0"/>
          <w:sz w:val="24"/>
          <w:szCs w:val="24"/>
          <w:lang w:val="en-US"/>
        </w:rPr>
        <w:t xml:space="preserve">31, </w:t>
      </w:r>
      <w:r w:rsidR="7A5A044F" w:rsidRPr="65E0E866">
        <w:rPr>
          <w:rFonts w:asciiTheme="minorHAnsi" w:hAnsiTheme="minorHAnsi" w:cstheme="minorBidi"/>
          <w:b w:val="0"/>
          <w:bCs w:val="0"/>
          <w:sz w:val="24"/>
          <w:szCs w:val="24"/>
          <w:lang w:val="en-US"/>
        </w:rPr>
        <w:t>202</w:t>
      </w:r>
      <w:r w:rsidR="6365D3F9" w:rsidRPr="65E0E866">
        <w:rPr>
          <w:rFonts w:asciiTheme="minorHAnsi" w:hAnsiTheme="minorHAnsi" w:cstheme="minorBidi"/>
          <w:b w:val="0"/>
          <w:bCs w:val="0"/>
          <w:sz w:val="24"/>
          <w:szCs w:val="24"/>
          <w:lang w:val="en-US"/>
        </w:rPr>
        <w:t>5</w:t>
      </w:r>
      <w:r w:rsidR="00F50849" w:rsidRPr="65E0E866">
        <w:rPr>
          <w:rFonts w:asciiTheme="minorHAnsi" w:hAnsiTheme="minorHAnsi" w:cstheme="minorBidi"/>
          <w:b w:val="0"/>
          <w:bCs w:val="0"/>
          <w:sz w:val="24"/>
          <w:szCs w:val="24"/>
          <w:lang w:val="en-US"/>
        </w:rPr>
        <w:t xml:space="preserve">. </w:t>
      </w:r>
      <w:r w:rsidR="009B71B6" w:rsidRPr="65E0E866">
        <w:rPr>
          <w:rFonts w:asciiTheme="minorHAnsi" w:hAnsiTheme="minorHAnsi" w:cstheme="minorBidi"/>
          <w:b w:val="0"/>
          <w:bCs w:val="0"/>
          <w:sz w:val="24"/>
          <w:szCs w:val="24"/>
          <w:lang w:val="en-US"/>
        </w:rPr>
        <w:t xml:space="preserve">These financial statements were approved by the Management Board on </w:t>
      </w:r>
      <w:r w:rsidR="00173A73" w:rsidRPr="65E0E866">
        <w:rPr>
          <w:rFonts w:asciiTheme="minorHAnsi" w:hAnsiTheme="minorHAnsi" w:cstheme="minorBidi"/>
          <w:b w:val="0"/>
          <w:bCs w:val="0"/>
          <w:sz w:val="24"/>
          <w:szCs w:val="24"/>
          <w:lang w:val="en-US"/>
        </w:rPr>
        <w:t>June 1</w:t>
      </w:r>
      <w:r w:rsidR="41A2CD56" w:rsidRPr="65E0E866">
        <w:rPr>
          <w:rFonts w:asciiTheme="minorHAnsi" w:hAnsiTheme="minorHAnsi" w:cstheme="minorBidi"/>
          <w:b w:val="0"/>
          <w:bCs w:val="0"/>
          <w:sz w:val="24"/>
          <w:szCs w:val="24"/>
          <w:lang w:val="en-US"/>
        </w:rPr>
        <w:t>6</w:t>
      </w:r>
      <w:r w:rsidR="00173A73" w:rsidRPr="65E0E866">
        <w:rPr>
          <w:rFonts w:asciiTheme="minorHAnsi" w:hAnsiTheme="minorHAnsi" w:cstheme="minorBidi"/>
          <w:b w:val="0"/>
          <w:bCs w:val="0"/>
          <w:sz w:val="24"/>
          <w:szCs w:val="24"/>
          <w:lang w:val="en-US"/>
        </w:rPr>
        <w:t xml:space="preserve">, </w:t>
      </w:r>
      <w:r w:rsidR="356260AC" w:rsidRPr="65E0E866">
        <w:rPr>
          <w:rFonts w:asciiTheme="minorHAnsi" w:hAnsiTheme="minorHAnsi" w:cstheme="minorBidi"/>
          <w:b w:val="0"/>
          <w:bCs w:val="0"/>
          <w:sz w:val="24"/>
          <w:szCs w:val="24"/>
          <w:lang w:val="en-US"/>
        </w:rPr>
        <w:t>202</w:t>
      </w:r>
      <w:r w:rsidR="685DB39F" w:rsidRPr="65E0E866">
        <w:rPr>
          <w:rFonts w:asciiTheme="minorHAnsi" w:hAnsiTheme="minorHAnsi" w:cstheme="minorBidi"/>
          <w:b w:val="0"/>
          <w:bCs w:val="0"/>
          <w:sz w:val="24"/>
          <w:szCs w:val="24"/>
          <w:lang w:val="en-US"/>
        </w:rPr>
        <w:t>5</w:t>
      </w:r>
      <w:r w:rsidR="009B71B6" w:rsidRPr="65E0E866">
        <w:rPr>
          <w:rFonts w:asciiTheme="minorHAnsi" w:hAnsiTheme="minorHAnsi" w:cstheme="minorBidi"/>
          <w:b w:val="0"/>
          <w:bCs w:val="0"/>
          <w:sz w:val="24"/>
          <w:szCs w:val="24"/>
          <w:lang w:val="en-US"/>
        </w:rPr>
        <w:t xml:space="preserve">. </w:t>
      </w:r>
      <w:r w:rsidR="286BFD88" w:rsidRPr="65E0E866">
        <w:rPr>
          <w:rFonts w:asciiTheme="minorHAnsi" w:hAnsiTheme="minorHAnsi" w:cstheme="minorBidi"/>
          <w:b w:val="0"/>
          <w:bCs w:val="0"/>
          <w:sz w:val="24"/>
          <w:szCs w:val="24"/>
          <w:lang w:val="en-US"/>
        </w:rPr>
        <w:t>Accounts are audited.</w:t>
      </w:r>
    </w:p>
    <w:tbl>
      <w:tblPr>
        <w:tblW w:w="0" w:type="auto"/>
        <w:tblLayout w:type="fixed"/>
        <w:tblLook w:val="06A0" w:firstRow="1" w:lastRow="0" w:firstColumn="1" w:lastColumn="0" w:noHBand="1" w:noVBand="1"/>
      </w:tblPr>
      <w:tblGrid>
        <w:gridCol w:w="3858"/>
        <w:gridCol w:w="3202"/>
        <w:gridCol w:w="2581"/>
        <w:gridCol w:w="1151"/>
      </w:tblGrid>
      <w:tr w:rsidR="65E0E866" w14:paraId="19407565" w14:textId="77777777" w:rsidTr="65E0E866">
        <w:trPr>
          <w:trHeight w:val="525"/>
        </w:trPr>
        <w:tc>
          <w:tcPr>
            <w:tcW w:w="385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5" w:type="dxa"/>
              <w:left w:w="15" w:type="dxa"/>
              <w:right w:w="15" w:type="dxa"/>
            </w:tcMar>
            <w:vAlign w:val="bottom"/>
          </w:tcPr>
          <w:p w14:paraId="56301745" w14:textId="13BC85FD" w:rsidR="65E0E866" w:rsidRDefault="65E0E866" w:rsidP="65E0E866">
            <w:pPr>
              <w:spacing w:after="0"/>
            </w:pPr>
            <w:r w:rsidRPr="65E0E866">
              <w:rPr>
                <w:rFonts w:ascii="Arial" w:eastAsia="Arial" w:hAnsi="Arial" w:cs="Arial"/>
                <w:b/>
                <w:bCs/>
                <w:sz w:val="20"/>
                <w:szCs w:val="20"/>
              </w:rPr>
              <w:t xml:space="preserve">In K€ </w:t>
            </w:r>
          </w:p>
        </w:tc>
        <w:tc>
          <w:tcPr>
            <w:tcW w:w="32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5" w:type="dxa"/>
              <w:left w:w="15" w:type="dxa"/>
              <w:right w:w="15" w:type="dxa"/>
            </w:tcMar>
            <w:vAlign w:val="center"/>
          </w:tcPr>
          <w:p w14:paraId="1A4D6CCA" w14:textId="45C652C1" w:rsidR="65E0E866" w:rsidRDefault="65E0E866" w:rsidP="65E0E866">
            <w:pPr>
              <w:spacing w:after="0"/>
              <w:jc w:val="center"/>
            </w:pPr>
            <w:r w:rsidRPr="65E0E866">
              <w:rPr>
                <w:rFonts w:ascii="Arial" w:eastAsia="Arial" w:hAnsi="Arial" w:cs="Arial"/>
                <w:b/>
                <w:bCs/>
                <w:sz w:val="16"/>
                <w:szCs w:val="16"/>
              </w:rPr>
              <w:t>MARCH 31, 2025</w:t>
            </w:r>
          </w:p>
        </w:tc>
        <w:tc>
          <w:tcPr>
            <w:tcW w:w="258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5" w:type="dxa"/>
              <w:left w:w="15" w:type="dxa"/>
              <w:right w:w="15" w:type="dxa"/>
            </w:tcMar>
            <w:vAlign w:val="center"/>
          </w:tcPr>
          <w:p w14:paraId="08E43EFD" w14:textId="1CBE8900" w:rsidR="65E0E866" w:rsidRDefault="65E0E866" w:rsidP="65E0E866">
            <w:pPr>
              <w:spacing w:after="0"/>
              <w:jc w:val="center"/>
            </w:pPr>
            <w:r w:rsidRPr="65E0E866">
              <w:rPr>
                <w:rFonts w:ascii="Arial" w:eastAsia="Arial" w:hAnsi="Arial" w:cs="Arial"/>
                <w:b/>
                <w:bCs/>
                <w:sz w:val="16"/>
                <w:szCs w:val="16"/>
              </w:rPr>
              <w:t xml:space="preserve">MARCH 31, 2024 </w:t>
            </w:r>
          </w:p>
        </w:tc>
        <w:tc>
          <w:tcPr>
            <w:tcW w:w="11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5" w:type="dxa"/>
              <w:left w:w="15" w:type="dxa"/>
              <w:right w:w="15" w:type="dxa"/>
            </w:tcMar>
            <w:vAlign w:val="center"/>
          </w:tcPr>
          <w:p w14:paraId="595113D1" w14:textId="068033F7" w:rsidR="65E0E866" w:rsidRDefault="65E0E866" w:rsidP="65E0E866">
            <w:pPr>
              <w:spacing w:after="0"/>
              <w:jc w:val="center"/>
            </w:pPr>
            <w:r w:rsidRPr="65E0E866">
              <w:rPr>
                <w:rFonts w:ascii="Arial" w:eastAsia="Arial" w:hAnsi="Arial" w:cs="Arial"/>
                <w:b/>
                <w:bCs/>
                <w:sz w:val="20"/>
                <w:szCs w:val="20"/>
              </w:rPr>
              <w:t>Variation %</w:t>
            </w:r>
          </w:p>
        </w:tc>
      </w:tr>
      <w:tr w:rsidR="65E0E866" w14:paraId="4E57692A" w14:textId="77777777" w:rsidTr="65E0E866">
        <w:trPr>
          <w:trHeight w:val="285"/>
        </w:trPr>
        <w:tc>
          <w:tcPr>
            <w:tcW w:w="385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bottom"/>
          </w:tcPr>
          <w:p w14:paraId="1AC730B4" w14:textId="32CB939A" w:rsidR="65E0E866" w:rsidRDefault="65E0E866" w:rsidP="65E0E866">
            <w:pPr>
              <w:spacing w:after="0"/>
            </w:pPr>
            <w:r w:rsidRPr="65E0E866">
              <w:rPr>
                <w:rFonts w:ascii="Arial" w:eastAsia="Arial" w:hAnsi="Arial" w:cs="Arial"/>
                <w:b/>
                <w:bCs/>
                <w:sz w:val="20"/>
                <w:szCs w:val="20"/>
              </w:rPr>
              <w:t xml:space="preserve">Net sales </w:t>
            </w:r>
          </w:p>
        </w:tc>
        <w:tc>
          <w:tcPr>
            <w:tcW w:w="3202"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bottom"/>
          </w:tcPr>
          <w:p w14:paraId="107115C3" w14:textId="1E0F70FD" w:rsidR="65E0E866" w:rsidRDefault="65E0E866" w:rsidP="65E0E866">
            <w:pPr>
              <w:spacing w:after="0"/>
              <w:jc w:val="right"/>
            </w:pPr>
            <w:r w:rsidRPr="65E0E866">
              <w:rPr>
                <w:rFonts w:ascii="Arial" w:eastAsia="Arial" w:hAnsi="Arial" w:cs="Arial"/>
                <w:b/>
                <w:bCs/>
                <w:sz w:val="20"/>
                <w:szCs w:val="20"/>
              </w:rPr>
              <w:t>74 012</w:t>
            </w:r>
          </w:p>
        </w:tc>
        <w:tc>
          <w:tcPr>
            <w:tcW w:w="258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bottom"/>
          </w:tcPr>
          <w:p w14:paraId="4850DB08" w14:textId="1E85A9A2" w:rsidR="65E0E866" w:rsidRDefault="65E0E866" w:rsidP="65E0E866">
            <w:pPr>
              <w:spacing w:after="0"/>
              <w:jc w:val="right"/>
            </w:pPr>
            <w:r w:rsidRPr="65E0E866">
              <w:rPr>
                <w:rFonts w:ascii="Arial" w:eastAsia="Arial" w:hAnsi="Arial" w:cs="Arial"/>
                <w:b/>
                <w:bCs/>
                <w:sz w:val="20"/>
                <w:szCs w:val="20"/>
              </w:rPr>
              <w:t>58 621</w:t>
            </w:r>
          </w:p>
        </w:tc>
        <w:tc>
          <w:tcPr>
            <w:tcW w:w="115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bottom"/>
          </w:tcPr>
          <w:p w14:paraId="3A329FBE" w14:textId="3BCD4B76" w:rsidR="65E0E866" w:rsidRDefault="65E0E866" w:rsidP="65E0E866">
            <w:pPr>
              <w:spacing w:after="0"/>
              <w:jc w:val="right"/>
            </w:pPr>
            <w:r w:rsidRPr="65E0E866">
              <w:rPr>
                <w:rFonts w:ascii="Arial" w:eastAsia="Arial" w:hAnsi="Arial" w:cs="Arial"/>
                <w:b/>
                <w:bCs/>
                <w:sz w:val="20"/>
                <w:szCs w:val="20"/>
              </w:rPr>
              <w:t>26,3%</w:t>
            </w:r>
          </w:p>
        </w:tc>
      </w:tr>
      <w:tr w:rsidR="65E0E866" w14:paraId="775C3540" w14:textId="77777777" w:rsidTr="65E0E866">
        <w:trPr>
          <w:trHeight w:val="285"/>
        </w:trPr>
        <w:tc>
          <w:tcPr>
            <w:tcW w:w="385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bottom"/>
          </w:tcPr>
          <w:p w14:paraId="765DCB12" w14:textId="14E3DE5B" w:rsidR="65E0E866" w:rsidRDefault="65E0E866" w:rsidP="65E0E866">
            <w:pPr>
              <w:spacing w:after="0"/>
            </w:pPr>
            <w:r w:rsidRPr="65E0E866">
              <w:rPr>
                <w:rFonts w:ascii="Arial" w:eastAsia="Arial" w:hAnsi="Arial" w:cs="Arial"/>
                <w:b/>
                <w:bCs/>
                <w:sz w:val="20"/>
                <w:szCs w:val="20"/>
              </w:rPr>
              <w:t xml:space="preserve">Gross </w:t>
            </w:r>
            <w:proofErr w:type="spellStart"/>
            <w:r w:rsidRPr="65E0E866">
              <w:rPr>
                <w:rFonts w:ascii="Arial" w:eastAsia="Arial" w:hAnsi="Arial" w:cs="Arial"/>
                <w:b/>
                <w:bCs/>
                <w:sz w:val="20"/>
                <w:szCs w:val="20"/>
              </w:rPr>
              <w:t>margin</w:t>
            </w:r>
            <w:proofErr w:type="spellEnd"/>
            <w:r w:rsidRPr="65E0E866">
              <w:rPr>
                <w:rFonts w:ascii="Arial" w:eastAsia="Arial" w:hAnsi="Arial" w:cs="Arial"/>
                <w:b/>
                <w:bCs/>
                <w:sz w:val="20"/>
                <w:szCs w:val="20"/>
              </w:rPr>
              <w:t xml:space="preserve"> </w:t>
            </w:r>
          </w:p>
        </w:tc>
        <w:tc>
          <w:tcPr>
            <w:tcW w:w="3202"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bottom"/>
          </w:tcPr>
          <w:p w14:paraId="0462AF70" w14:textId="5F217544" w:rsidR="65E0E866" w:rsidRDefault="65E0E866" w:rsidP="65E0E866">
            <w:pPr>
              <w:spacing w:after="0"/>
              <w:jc w:val="right"/>
            </w:pPr>
            <w:r w:rsidRPr="65E0E866">
              <w:rPr>
                <w:rFonts w:ascii="Arial" w:eastAsia="Arial" w:hAnsi="Arial" w:cs="Arial"/>
                <w:b/>
                <w:bCs/>
                <w:sz w:val="20"/>
                <w:szCs w:val="20"/>
              </w:rPr>
              <w:t>44 557</w:t>
            </w:r>
          </w:p>
        </w:tc>
        <w:tc>
          <w:tcPr>
            <w:tcW w:w="258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bottom"/>
          </w:tcPr>
          <w:p w14:paraId="1F60182F" w14:textId="6B277E66" w:rsidR="65E0E866" w:rsidRDefault="65E0E866" w:rsidP="65E0E866">
            <w:pPr>
              <w:spacing w:after="0"/>
              <w:jc w:val="right"/>
            </w:pPr>
            <w:r w:rsidRPr="65E0E866">
              <w:rPr>
                <w:rFonts w:ascii="Arial" w:eastAsia="Arial" w:hAnsi="Arial" w:cs="Arial"/>
                <w:b/>
                <w:bCs/>
                <w:sz w:val="20"/>
                <w:szCs w:val="20"/>
              </w:rPr>
              <w:t>35 086</w:t>
            </w:r>
          </w:p>
        </w:tc>
        <w:tc>
          <w:tcPr>
            <w:tcW w:w="115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bottom"/>
          </w:tcPr>
          <w:p w14:paraId="166F5A25" w14:textId="01DE2582" w:rsidR="65E0E866" w:rsidRDefault="65E0E866" w:rsidP="65E0E866">
            <w:pPr>
              <w:spacing w:after="0"/>
              <w:jc w:val="right"/>
            </w:pPr>
            <w:r w:rsidRPr="65E0E866">
              <w:rPr>
                <w:rFonts w:ascii="Arial" w:eastAsia="Arial" w:hAnsi="Arial" w:cs="Arial"/>
                <w:b/>
                <w:bCs/>
                <w:sz w:val="20"/>
                <w:szCs w:val="20"/>
              </w:rPr>
              <w:t>27,0%</w:t>
            </w:r>
          </w:p>
        </w:tc>
      </w:tr>
      <w:tr w:rsidR="65E0E866" w14:paraId="59817AC1" w14:textId="77777777" w:rsidTr="65E0E866">
        <w:trPr>
          <w:trHeight w:val="285"/>
        </w:trPr>
        <w:tc>
          <w:tcPr>
            <w:tcW w:w="385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bottom"/>
          </w:tcPr>
          <w:p w14:paraId="68AA8B07" w14:textId="00368243" w:rsidR="65E0E866" w:rsidRDefault="65E0E866" w:rsidP="65E0E866">
            <w:pPr>
              <w:spacing w:after="0"/>
            </w:pPr>
            <w:r w:rsidRPr="65E0E866">
              <w:rPr>
                <w:rFonts w:ascii="Arial" w:eastAsia="Arial" w:hAnsi="Arial" w:cs="Arial"/>
                <w:b/>
                <w:bCs/>
                <w:sz w:val="20"/>
                <w:szCs w:val="20"/>
              </w:rPr>
              <w:t xml:space="preserve">Operating income  </w:t>
            </w:r>
          </w:p>
        </w:tc>
        <w:tc>
          <w:tcPr>
            <w:tcW w:w="3202"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bottom"/>
          </w:tcPr>
          <w:p w14:paraId="04CE0578" w14:textId="22E196B4" w:rsidR="65E0E866" w:rsidRDefault="65E0E866" w:rsidP="65E0E866">
            <w:pPr>
              <w:spacing w:after="0"/>
              <w:jc w:val="right"/>
            </w:pPr>
            <w:r w:rsidRPr="65E0E866">
              <w:rPr>
                <w:rFonts w:ascii="Arial" w:eastAsia="Arial" w:hAnsi="Arial" w:cs="Arial"/>
                <w:b/>
                <w:bCs/>
                <w:sz w:val="20"/>
                <w:szCs w:val="20"/>
              </w:rPr>
              <w:t>8 098</w:t>
            </w:r>
          </w:p>
        </w:tc>
        <w:tc>
          <w:tcPr>
            <w:tcW w:w="258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bottom"/>
          </w:tcPr>
          <w:p w14:paraId="3EDCBB11" w14:textId="4D0DA89E" w:rsidR="65E0E866" w:rsidRDefault="65E0E866" w:rsidP="65E0E866">
            <w:pPr>
              <w:spacing w:after="0"/>
              <w:jc w:val="right"/>
            </w:pPr>
            <w:r w:rsidRPr="65E0E866">
              <w:rPr>
                <w:rFonts w:ascii="Arial" w:eastAsia="Arial" w:hAnsi="Arial" w:cs="Arial"/>
                <w:b/>
                <w:bCs/>
                <w:sz w:val="20"/>
                <w:szCs w:val="20"/>
              </w:rPr>
              <w:t>5 951</w:t>
            </w:r>
          </w:p>
        </w:tc>
        <w:tc>
          <w:tcPr>
            <w:tcW w:w="115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bottom"/>
          </w:tcPr>
          <w:p w14:paraId="6004382B" w14:textId="472B7E4A" w:rsidR="65E0E866" w:rsidRDefault="65E0E866" w:rsidP="65E0E866">
            <w:pPr>
              <w:spacing w:after="0"/>
              <w:jc w:val="right"/>
            </w:pPr>
            <w:r w:rsidRPr="65E0E866">
              <w:rPr>
                <w:rFonts w:ascii="Arial" w:eastAsia="Arial" w:hAnsi="Arial" w:cs="Arial"/>
                <w:b/>
                <w:bCs/>
                <w:sz w:val="20"/>
                <w:szCs w:val="20"/>
              </w:rPr>
              <w:t>36,1%</w:t>
            </w:r>
          </w:p>
        </w:tc>
      </w:tr>
      <w:tr w:rsidR="65E0E866" w14:paraId="053B3158" w14:textId="77777777" w:rsidTr="65E0E866">
        <w:trPr>
          <w:trHeight w:val="285"/>
        </w:trPr>
        <w:tc>
          <w:tcPr>
            <w:tcW w:w="385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bottom"/>
          </w:tcPr>
          <w:p w14:paraId="72D73016" w14:textId="648FAD98" w:rsidR="65E0E866" w:rsidRDefault="65E0E866" w:rsidP="65E0E866">
            <w:pPr>
              <w:spacing w:after="0"/>
            </w:pPr>
            <w:r w:rsidRPr="65E0E866">
              <w:rPr>
                <w:rFonts w:ascii="Arial" w:eastAsia="Arial" w:hAnsi="Arial" w:cs="Arial"/>
                <w:b/>
                <w:bCs/>
                <w:sz w:val="20"/>
                <w:szCs w:val="20"/>
              </w:rPr>
              <w:t>EBITDA</w:t>
            </w:r>
          </w:p>
        </w:tc>
        <w:tc>
          <w:tcPr>
            <w:tcW w:w="3202"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bottom"/>
          </w:tcPr>
          <w:p w14:paraId="4AD91A68" w14:textId="78CA4388" w:rsidR="65E0E866" w:rsidRDefault="65E0E866" w:rsidP="65E0E866">
            <w:pPr>
              <w:spacing w:after="0"/>
              <w:jc w:val="right"/>
            </w:pPr>
            <w:r w:rsidRPr="65E0E866">
              <w:rPr>
                <w:rFonts w:ascii="Arial" w:eastAsia="Arial" w:hAnsi="Arial" w:cs="Arial"/>
                <w:b/>
                <w:bCs/>
                <w:sz w:val="20"/>
                <w:szCs w:val="20"/>
              </w:rPr>
              <w:t>9 721</w:t>
            </w:r>
          </w:p>
        </w:tc>
        <w:tc>
          <w:tcPr>
            <w:tcW w:w="258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bottom"/>
          </w:tcPr>
          <w:p w14:paraId="7DAFBF80" w14:textId="3AF39216" w:rsidR="65E0E866" w:rsidRDefault="65E0E866" w:rsidP="65E0E866">
            <w:pPr>
              <w:spacing w:after="0"/>
              <w:jc w:val="right"/>
            </w:pPr>
            <w:r w:rsidRPr="65E0E866">
              <w:rPr>
                <w:rFonts w:ascii="Arial" w:eastAsia="Arial" w:hAnsi="Arial" w:cs="Arial"/>
                <w:b/>
                <w:bCs/>
                <w:sz w:val="20"/>
                <w:szCs w:val="20"/>
              </w:rPr>
              <w:t>7 459</w:t>
            </w:r>
          </w:p>
        </w:tc>
        <w:tc>
          <w:tcPr>
            <w:tcW w:w="115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bottom"/>
          </w:tcPr>
          <w:p w14:paraId="101EA69E" w14:textId="3C61845C" w:rsidR="65E0E866" w:rsidRDefault="65E0E866" w:rsidP="65E0E866">
            <w:pPr>
              <w:spacing w:after="0"/>
              <w:jc w:val="right"/>
            </w:pPr>
            <w:r w:rsidRPr="65E0E866">
              <w:rPr>
                <w:rFonts w:ascii="Arial" w:eastAsia="Arial" w:hAnsi="Arial" w:cs="Arial"/>
                <w:b/>
                <w:bCs/>
                <w:sz w:val="20"/>
                <w:szCs w:val="20"/>
              </w:rPr>
              <w:t>30,3%</w:t>
            </w:r>
          </w:p>
        </w:tc>
      </w:tr>
      <w:tr w:rsidR="65E0E866" w14:paraId="376FC2D8" w14:textId="77777777" w:rsidTr="65E0E866">
        <w:trPr>
          <w:trHeight w:val="285"/>
        </w:trPr>
        <w:tc>
          <w:tcPr>
            <w:tcW w:w="385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bottom"/>
          </w:tcPr>
          <w:p w14:paraId="318077C0" w14:textId="730E3EDF" w:rsidR="65E0E866" w:rsidRDefault="65E0E866" w:rsidP="65E0E866">
            <w:pPr>
              <w:spacing w:after="0"/>
            </w:pPr>
            <w:r w:rsidRPr="65E0E866">
              <w:rPr>
                <w:rFonts w:ascii="Arial" w:eastAsia="Arial" w:hAnsi="Arial" w:cs="Arial"/>
                <w:b/>
                <w:bCs/>
                <w:sz w:val="20"/>
                <w:szCs w:val="20"/>
              </w:rPr>
              <w:t xml:space="preserve">Net income </w:t>
            </w:r>
          </w:p>
        </w:tc>
        <w:tc>
          <w:tcPr>
            <w:tcW w:w="3202"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bottom"/>
          </w:tcPr>
          <w:p w14:paraId="7AACA77E" w14:textId="3F098F52" w:rsidR="65E0E866" w:rsidRDefault="65E0E866" w:rsidP="65E0E866">
            <w:pPr>
              <w:spacing w:after="0"/>
              <w:jc w:val="right"/>
            </w:pPr>
            <w:r w:rsidRPr="65E0E866">
              <w:rPr>
                <w:rFonts w:ascii="Arial" w:eastAsia="Arial" w:hAnsi="Arial" w:cs="Arial"/>
                <w:b/>
                <w:bCs/>
                <w:sz w:val="20"/>
                <w:szCs w:val="20"/>
              </w:rPr>
              <w:t>7 372</w:t>
            </w:r>
          </w:p>
        </w:tc>
        <w:tc>
          <w:tcPr>
            <w:tcW w:w="258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bottom"/>
          </w:tcPr>
          <w:p w14:paraId="2213BE8D" w14:textId="7D188A33" w:rsidR="65E0E866" w:rsidRDefault="65E0E866" w:rsidP="65E0E866">
            <w:pPr>
              <w:spacing w:after="0"/>
              <w:jc w:val="right"/>
            </w:pPr>
            <w:r w:rsidRPr="65E0E866">
              <w:rPr>
                <w:rFonts w:ascii="Arial" w:eastAsia="Arial" w:hAnsi="Arial" w:cs="Arial"/>
                <w:b/>
                <w:bCs/>
                <w:sz w:val="20"/>
                <w:szCs w:val="20"/>
              </w:rPr>
              <w:t>4 992</w:t>
            </w:r>
          </w:p>
        </w:tc>
        <w:tc>
          <w:tcPr>
            <w:tcW w:w="115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bottom"/>
          </w:tcPr>
          <w:p w14:paraId="56C0BAD9" w14:textId="4C204864" w:rsidR="65E0E866" w:rsidRDefault="65E0E866" w:rsidP="65E0E866">
            <w:pPr>
              <w:spacing w:after="0"/>
              <w:jc w:val="right"/>
            </w:pPr>
            <w:r w:rsidRPr="65E0E866">
              <w:rPr>
                <w:rFonts w:ascii="Arial" w:eastAsia="Arial" w:hAnsi="Arial" w:cs="Arial"/>
                <w:b/>
                <w:bCs/>
                <w:sz w:val="20"/>
                <w:szCs w:val="20"/>
              </w:rPr>
              <w:t>47,7%</w:t>
            </w:r>
          </w:p>
        </w:tc>
      </w:tr>
    </w:tbl>
    <w:p w14:paraId="32E45F1A" w14:textId="10C7F5A6" w:rsidR="0082252D" w:rsidRPr="00095F64" w:rsidRDefault="0082252D" w:rsidP="0369AF28">
      <w:pPr>
        <w:spacing w:after="160" w:line="259" w:lineRule="auto"/>
        <w:jc w:val="both"/>
      </w:pPr>
    </w:p>
    <w:p w14:paraId="5DED1132" w14:textId="48E42C50" w:rsidR="00C92F45" w:rsidRPr="00CD1C84" w:rsidRDefault="65E0F089" w:rsidP="009F4BD9">
      <w:pPr>
        <w:spacing w:before="240" w:after="240"/>
        <w:jc w:val="both"/>
        <w:rPr>
          <w:rFonts w:asciiTheme="minorHAnsi" w:hAnsiTheme="minorHAnsi" w:cstheme="minorBidi"/>
          <w:sz w:val="24"/>
          <w:szCs w:val="24"/>
          <w:lang w:val="en-US"/>
        </w:rPr>
      </w:pPr>
      <w:r w:rsidRPr="0369AF28">
        <w:rPr>
          <w:rFonts w:cs="Calibri"/>
          <w:b/>
          <w:bCs/>
          <w:sz w:val="24"/>
          <w:szCs w:val="24"/>
          <w:lang w:val="en-US"/>
        </w:rPr>
        <w:t>Aymeric Le Cottier, Chairman of the Management Board of Lexibook, commented:</w:t>
      </w:r>
      <w:r w:rsidRPr="0369AF28">
        <w:rPr>
          <w:rFonts w:cs="Calibri"/>
          <w:sz w:val="24"/>
          <w:szCs w:val="24"/>
          <w:lang w:val="en-US"/>
        </w:rPr>
        <w:t xml:space="preserve"> </w:t>
      </w:r>
      <w:r w:rsidRPr="0369AF28">
        <w:rPr>
          <w:rFonts w:cs="Calibri"/>
          <w:i/>
          <w:iCs/>
          <w:sz w:val="24"/>
          <w:szCs w:val="24"/>
          <w:lang w:val="en-US"/>
        </w:rPr>
        <w:t>“After five consecutive years of growth, the Group is once again delivering a strong performance, driven by the expansion of online sales, the success of new product launches during the period, as well as the performance of our licensed ranges—particularly Disney’s Stitch. Financially, the Group is stronger and has the means to support its ambitions: equity has reached a historically high level of €24M, and gearing has improved once again despite increased business activity. The 2025-2026 fiscal year is off to a positive start, which gives us confidence for the new period, despite the high level of uncertainty surrounding U.S. customs duties, which could potentially halt our development in that market.”</w:t>
      </w:r>
    </w:p>
    <w:tbl>
      <w:tblPr>
        <w:tblW w:w="10310" w:type="dxa"/>
        <w:tblLayout w:type="fixed"/>
        <w:tblLook w:val="06A0" w:firstRow="1" w:lastRow="0" w:firstColumn="1" w:lastColumn="0" w:noHBand="1" w:noVBand="1"/>
      </w:tblPr>
      <w:tblGrid>
        <w:gridCol w:w="3395"/>
        <w:gridCol w:w="2696"/>
        <w:gridCol w:w="2268"/>
        <w:gridCol w:w="1951"/>
      </w:tblGrid>
      <w:tr w:rsidR="65E0E866" w14:paraId="0562757B" w14:textId="77777777" w:rsidTr="00F86ABE">
        <w:trPr>
          <w:trHeight w:val="959"/>
        </w:trPr>
        <w:tc>
          <w:tcPr>
            <w:tcW w:w="3395" w:type="dxa"/>
            <w:vMerge w:val="restart"/>
            <w:tcBorders>
              <w:top w:val="single" w:sz="4" w:space="0" w:color="000000" w:themeColor="text1"/>
              <w:left w:val="single" w:sz="4" w:space="0" w:color="000000" w:themeColor="text1"/>
              <w:bottom w:val="nil"/>
              <w:right w:val="single" w:sz="8" w:space="0" w:color="000000" w:themeColor="text1"/>
            </w:tcBorders>
            <w:shd w:val="clear" w:color="auto" w:fill="D9D9D9" w:themeFill="background1" w:themeFillShade="D9"/>
            <w:tcMar>
              <w:top w:w="15" w:type="dxa"/>
              <w:left w:w="15" w:type="dxa"/>
              <w:right w:w="15" w:type="dxa"/>
            </w:tcMar>
            <w:vAlign w:val="center"/>
          </w:tcPr>
          <w:p w14:paraId="6D29B9E8" w14:textId="03C6BBD2" w:rsidR="65E0E866" w:rsidRPr="00F86ABE" w:rsidRDefault="65E0E866" w:rsidP="65E0E866">
            <w:pPr>
              <w:spacing w:after="0"/>
              <w:rPr>
                <w:sz w:val="18"/>
                <w:szCs w:val="18"/>
              </w:rPr>
            </w:pPr>
            <w:r w:rsidRPr="00F86ABE">
              <w:rPr>
                <w:rFonts w:cs="Calibri"/>
                <w:b/>
                <w:bCs/>
                <w:color w:val="000000" w:themeColor="text1"/>
                <w:sz w:val="18"/>
                <w:szCs w:val="18"/>
              </w:rPr>
              <w:t>In K€</w:t>
            </w:r>
            <w:r w:rsidRPr="00F86ABE">
              <w:rPr>
                <w:rFonts w:cs="Calibri"/>
                <w:color w:val="000000" w:themeColor="text1"/>
                <w:sz w:val="18"/>
                <w:szCs w:val="18"/>
              </w:rPr>
              <w:t xml:space="preserve"> </w:t>
            </w:r>
          </w:p>
        </w:tc>
        <w:tc>
          <w:tcPr>
            <w:tcW w:w="2696" w:type="dxa"/>
            <w:vMerge w:val="restart"/>
            <w:tcBorders>
              <w:top w:val="single" w:sz="4" w:space="0" w:color="000000" w:themeColor="text1"/>
              <w:left w:val="single" w:sz="8" w:space="0" w:color="000000" w:themeColor="text1"/>
              <w:bottom w:val="nil"/>
              <w:right w:val="single" w:sz="8" w:space="0" w:color="000000" w:themeColor="text1"/>
            </w:tcBorders>
            <w:shd w:val="clear" w:color="auto" w:fill="D9D9D9" w:themeFill="background1" w:themeFillShade="D9"/>
            <w:tcMar>
              <w:top w:w="15" w:type="dxa"/>
              <w:left w:w="15" w:type="dxa"/>
              <w:right w:w="15" w:type="dxa"/>
            </w:tcMar>
            <w:vAlign w:val="center"/>
          </w:tcPr>
          <w:p w14:paraId="3A45C667" w14:textId="6DBDC714" w:rsidR="65E0E866" w:rsidRPr="00F86ABE" w:rsidRDefault="65E0E866" w:rsidP="65E0E866">
            <w:pPr>
              <w:spacing w:after="0"/>
              <w:jc w:val="center"/>
              <w:rPr>
                <w:sz w:val="18"/>
                <w:szCs w:val="18"/>
              </w:rPr>
            </w:pPr>
            <w:r w:rsidRPr="00F86ABE">
              <w:rPr>
                <w:rFonts w:cs="Calibri"/>
                <w:b/>
                <w:bCs/>
                <w:color w:val="000000" w:themeColor="text1"/>
                <w:sz w:val="18"/>
                <w:szCs w:val="18"/>
              </w:rPr>
              <w:t>MARCH 31, 2025</w:t>
            </w:r>
            <w:r w:rsidRPr="00F86ABE">
              <w:rPr>
                <w:rFonts w:cs="Calibri"/>
                <w:color w:val="000000" w:themeColor="text1"/>
                <w:sz w:val="18"/>
                <w:szCs w:val="18"/>
              </w:rPr>
              <w:t xml:space="preserve"> </w:t>
            </w:r>
          </w:p>
        </w:tc>
        <w:tc>
          <w:tcPr>
            <w:tcW w:w="2268" w:type="dxa"/>
            <w:vMerge w:val="restart"/>
            <w:tcBorders>
              <w:top w:val="single" w:sz="4" w:space="0" w:color="000000" w:themeColor="text1"/>
              <w:left w:val="single" w:sz="8" w:space="0" w:color="000000" w:themeColor="text1"/>
              <w:bottom w:val="nil"/>
              <w:right w:val="single" w:sz="8" w:space="0" w:color="000000" w:themeColor="text1"/>
            </w:tcBorders>
            <w:shd w:val="clear" w:color="auto" w:fill="D9D9D9" w:themeFill="background1" w:themeFillShade="D9"/>
            <w:tcMar>
              <w:top w:w="15" w:type="dxa"/>
              <w:left w:w="15" w:type="dxa"/>
              <w:right w:w="15" w:type="dxa"/>
            </w:tcMar>
            <w:vAlign w:val="center"/>
          </w:tcPr>
          <w:p w14:paraId="433A1FAB" w14:textId="5F2199C7" w:rsidR="65E0E866" w:rsidRPr="00F86ABE" w:rsidRDefault="65E0E866" w:rsidP="65E0E866">
            <w:pPr>
              <w:spacing w:after="0"/>
              <w:jc w:val="center"/>
              <w:rPr>
                <w:sz w:val="18"/>
                <w:szCs w:val="18"/>
              </w:rPr>
            </w:pPr>
            <w:r w:rsidRPr="00F86ABE">
              <w:rPr>
                <w:rFonts w:cs="Calibri"/>
                <w:b/>
                <w:bCs/>
                <w:color w:val="000000" w:themeColor="text1"/>
                <w:sz w:val="18"/>
                <w:szCs w:val="18"/>
              </w:rPr>
              <w:t>MARCH 31, 2024</w:t>
            </w:r>
            <w:r w:rsidRPr="00F86ABE">
              <w:rPr>
                <w:rFonts w:cs="Calibri"/>
                <w:color w:val="000000" w:themeColor="text1"/>
                <w:sz w:val="18"/>
                <w:szCs w:val="18"/>
              </w:rPr>
              <w:t xml:space="preserve"> </w:t>
            </w:r>
          </w:p>
        </w:tc>
        <w:tc>
          <w:tcPr>
            <w:tcW w:w="1951" w:type="dxa"/>
            <w:vMerge w:val="restart"/>
            <w:tcBorders>
              <w:top w:val="single" w:sz="4" w:space="0" w:color="000000" w:themeColor="text1"/>
              <w:left w:val="single" w:sz="8" w:space="0" w:color="000000" w:themeColor="text1"/>
              <w:bottom w:val="nil"/>
              <w:right w:val="single" w:sz="4" w:space="0" w:color="000000" w:themeColor="text1"/>
            </w:tcBorders>
            <w:shd w:val="clear" w:color="auto" w:fill="D9D9D9" w:themeFill="background1" w:themeFillShade="D9"/>
            <w:tcMar>
              <w:top w:w="15" w:type="dxa"/>
              <w:left w:w="15" w:type="dxa"/>
              <w:right w:w="15" w:type="dxa"/>
            </w:tcMar>
            <w:vAlign w:val="center"/>
          </w:tcPr>
          <w:p w14:paraId="1A5A8F4A" w14:textId="7E27F509" w:rsidR="65E0E866" w:rsidRPr="00F86ABE" w:rsidRDefault="65E0E866" w:rsidP="65E0E866">
            <w:pPr>
              <w:spacing w:after="0"/>
              <w:jc w:val="center"/>
              <w:rPr>
                <w:sz w:val="18"/>
                <w:szCs w:val="18"/>
              </w:rPr>
            </w:pPr>
            <w:r w:rsidRPr="00F86ABE">
              <w:rPr>
                <w:rFonts w:cs="Calibri"/>
                <w:b/>
                <w:bCs/>
                <w:color w:val="000000" w:themeColor="text1"/>
                <w:sz w:val="18"/>
                <w:szCs w:val="18"/>
              </w:rPr>
              <w:t>Variation</w:t>
            </w:r>
            <w:r w:rsidRPr="00F86ABE">
              <w:rPr>
                <w:rFonts w:cs="Calibri"/>
                <w:color w:val="000000" w:themeColor="text1"/>
                <w:sz w:val="18"/>
                <w:szCs w:val="18"/>
              </w:rPr>
              <w:t xml:space="preserve"> %</w:t>
            </w:r>
          </w:p>
        </w:tc>
      </w:tr>
      <w:tr w:rsidR="65E0E866" w14:paraId="7D417FE5" w14:textId="77777777" w:rsidTr="00F86ABE">
        <w:trPr>
          <w:trHeight w:val="533"/>
        </w:trPr>
        <w:tc>
          <w:tcPr>
            <w:tcW w:w="3395" w:type="dxa"/>
            <w:vMerge/>
            <w:tcBorders>
              <w:left w:val="single" w:sz="0" w:space="0" w:color="000000" w:themeColor="text1"/>
              <w:right w:val="single" w:sz="0" w:space="0" w:color="000000" w:themeColor="text1"/>
            </w:tcBorders>
            <w:vAlign w:val="center"/>
          </w:tcPr>
          <w:p w14:paraId="1A906464" w14:textId="77777777" w:rsidR="007B46A6" w:rsidRPr="00F86ABE" w:rsidRDefault="007B46A6">
            <w:pPr>
              <w:rPr>
                <w:sz w:val="18"/>
                <w:szCs w:val="18"/>
              </w:rPr>
            </w:pPr>
          </w:p>
        </w:tc>
        <w:tc>
          <w:tcPr>
            <w:tcW w:w="2696" w:type="dxa"/>
            <w:vMerge/>
            <w:tcBorders>
              <w:left w:val="single" w:sz="0" w:space="0" w:color="000000" w:themeColor="text1"/>
              <w:right w:val="single" w:sz="0" w:space="0" w:color="000000" w:themeColor="text1"/>
            </w:tcBorders>
            <w:vAlign w:val="center"/>
          </w:tcPr>
          <w:p w14:paraId="111250E7" w14:textId="77777777" w:rsidR="007B46A6" w:rsidRPr="00F86ABE" w:rsidRDefault="007B46A6">
            <w:pPr>
              <w:rPr>
                <w:sz w:val="18"/>
                <w:szCs w:val="18"/>
              </w:rPr>
            </w:pPr>
          </w:p>
        </w:tc>
        <w:tc>
          <w:tcPr>
            <w:tcW w:w="2268" w:type="dxa"/>
            <w:vMerge/>
            <w:tcBorders>
              <w:left w:val="single" w:sz="0" w:space="0" w:color="000000" w:themeColor="text1"/>
              <w:right w:val="single" w:sz="0" w:space="0" w:color="000000" w:themeColor="text1"/>
            </w:tcBorders>
            <w:vAlign w:val="center"/>
          </w:tcPr>
          <w:p w14:paraId="30C49C27" w14:textId="77777777" w:rsidR="007B46A6" w:rsidRPr="00F86ABE" w:rsidRDefault="007B46A6">
            <w:pPr>
              <w:rPr>
                <w:sz w:val="18"/>
                <w:szCs w:val="18"/>
              </w:rPr>
            </w:pPr>
          </w:p>
        </w:tc>
        <w:tc>
          <w:tcPr>
            <w:tcW w:w="1951" w:type="dxa"/>
            <w:vMerge/>
            <w:tcBorders>
              <w:left w:val="single" w:sz="0" w:space="0" w:color="000000" w:themeColor="text1"/>
              <w:right w:val="single" w:sz="0" w:space="0" w:color="000000" w:themeColor="text1"/>
            </w:tcBorders>
            <w:vAlign w:val="center"/>
          </w:tcPr>
          <w:p w14:paraId="4F9BF7F6" w14:textId="77777777" w:rsidR="007B46A6" w:rsidRPr="00F86ABE" w:rsidRDefault="007B46A6">
            <w:pPr>
              <w:rPr>
                <w:sz w:val="18"/>
                <w:szCs w:val="18"/>
              </w:rPr>
            </w:pPr>
          </w:p>
        </w:tc>
      </w:tr>
      <w:tr w:rsidR="00962EE2" w14:paraId="725BE3A3" w14:textId="77777777" w:rsidTr="00962EE2">
        <w:trPr>
          <w:trHeight w:val="624"/>
        </w:trPr>
        <w:tc>
          <w:tcPr>
            <w:tcW w:w="3395" w:type="dxa"/>
            <w:tcBorders>
              <w:top w:val="nil"/>
              <w:left w:val="single" w:sz="4" w:space="0" w:color="000000" w:themeColor="text1"/>
              <w:bottom w:val="nil"/>
              <w:right w:val="single" w:sz="4" w:space="0" w:color="000000" w:themeColor="text1"/>
            </w:tcBorders>
            <w:shd w:val="clear" w:color="auto" w:fill="FFFFFF" w:themeFill="background1"/>
            <w:tcMar>
              <w:top w:w="15" w:type="dxa"/>
              <w:left w:w="15" w:type="dxa"/>
              <w:right w:w="15" w:type="dxa"/>
            </w:tcMar>
            <w:vAlign w:val="bottom"/>
          </w:tcPr>
          <w:p w14:paraId="0753CE3D" w14:textId="19B46DD4" w:rsidR="00962EE2" w:rsidRPr="00962EE2" w:rsidRDefault="00962EE2" w:rsidP="65E0E866">
            <w:pPr>
              <w:spacing w:after="0"/>
              <w:rPr>
                <w:rFonts w:ascii="Arial" w:eastAsia="Arial" w:hAnsi="Arial" w:cs="Arial"/>
                <w:sz w:val="18"/>
                <w:szCs w:val="18"/>
                <w:lang w:val="en-US"/>
              </w:rPr>
            </w:pPr>
            <w:r>
              <w:rPr>
                <w:rFonts w:ascii="Arial" w:eastAsia="Arial" w:hAnsi="Arial" w:cs="Arial"/>
                <w:sz w:val="18"/>
                <w:szCs w:val="18"/>
                <w:lang w:val="en-US"/>
              </w:rPr>
              <w:t>Net Revenue</w:t>
            </w:r>
          </w:p>
        </w:tc>
        <w:tc>
          <w:tcPr>
            <w:tcW w:w="2696" w:type="dxa"/>
            <w:tcBorders>
              <w:top w:val="nil"/>
              <w:left w:val="single" w:sz="4" w:space="0" w:color="000000" w:themeColor="text1"/>
              <w:bottom w:val="nil"/>
              <w:right w:val="single" w:sz="4" w:space="0" w:color="000000" w:themeColor="text1"/>
            </w:tcBorders>
            <w:shd w:val="clear" w:color="auto" w:fill="FFFFFF" w:themeFill="background1"/>
            <w:tcMar>
              <w:top w:w="15" w:type="dxa"/>
              <w:left w:w="15" w:type="dxa"/>
              <w:right w:w="15" w:type="dxa"/>
            </w:tcMar>
            <w:vAlign w:val="bottom"/>
          </w:tcPr>
          <w:p w14:paraId="351BA03A" w14:textId="40E8FD0D" w:rsidR="00962EE2" w:rsidRPr="00962EE2" w:rsidRDefault="00962EE2" w:rsidP="65E0E866">
            <w:pPr>
              <w:spacing w:after="0"/>
              <w:jc w:val="right"/>
              <w:rPr>
                <w:rFonts w:ascii="Arial" w:eastAsia="Arial" w:hAnsi="Arial" w:cs="Arial"/>
                <w:sz w:val="18"/>
                <w:szCs w:val="18"/>
                <w:lang w:val="en-US"/>
              </w:rPr>
            </w:pPr>
            <w:r>
              <w:rPr>
                <w:rFonts w:ascii="Arial" w:eastAsia="Arial" w:hAnsi="Arial" w:cs="Arial"/>
                <w:sz w:val="18"/>
                <w:szCs w:val="18"/>
                <w:lang w:val="en-US"/>
              </w:rPr>
              <w:t>74 012</w:t>
            </w:r>
          </w:p>
        </w:tc>
        <w:tc>
          <w:tcPr>
            <w:tcW w:w="2268" w:type="dxa"/>
            <w:tcBorders>
              <w:top w:val="nil"/>
              <w:left w:val="single" w:sz="4" w:space="0" w:color="000000" w:themeColor="text1"/>
              <w:bottom w:val="nil"/>
              <w:right w:val="single" w:sz="4" w:space="0" w:color="000000" w:themeColor="text1"/>
            </w:tcBorders>
            <w:shd w:val="clear" w:color="auto" w:fill="FFFFFF" w:themeFill="background1"/>
            <w:tcMar>
              <w:top w:w="15" w:type="dxa"/>
              <w:left w:w="15" w:type="dxa"/>
              <w:right w:w="15" w:type="dxa"/>
            </w:tcMar>
            <w:vAlign w:val="bottom"/>
          </w:tcPr>
          <w:p w14:paraId="7FDE8F08" w14:textId="490AC84C" w:rsidR="00962EE2" w:rsidRPr="00F86ABE" w:rsidRDefault="00962EE2" w:rsidP="65E0E866">
            <w:pPr>
              <w:spacing w:after="0"/>
              <w:jc w:val="right"/>
              <w:rPr>
                <w:rFonts w:ascii="Arial" w:eastAsia="Arial" w:hAnsi="Arial" w:cs="Arial"/>
                <w:sz w:val="18"/>
                <w:szCs w:val="18"/>
              </w:rPr>
            </w:pPr>
            <w:r>
              <w:rPr>
                <w:rFonts w:ascii="Arial" w:eastAsia="Arial" w:hAnsi="Arial" w:cs="Arial"/>
                <w:sz w:val="18"/>
                <w:szCs w:val="18"/>
              </w:rPr>
              <w:t>58 621</w:t>
            </w:r>
          </w:p>
        </w:tc>
        <w:tc>
          <w:tcPr>
            <w:tcW w:w="1951" w:type="dxa"/>
            <w:tcBorders>
              <w:top w:val="nil"/>
              <w:left w:val="single" w:sz="4" w:space="0" w:color="000000" w:themeColor="text1"/>
              <w:bottom w:val="nil"/>
              <w:right w:val="single" w:sz="4" w:space="0" w:color="000000" w:themeColor="text1"/>
            </w:tcBorders>
            <w:shd w:val="clear" w:color="auto" w:fill="FFFFFF" w:themeFill="background1"/>
            <w:tcMar>
              <w:top w:w="15" w:type="dxa"/>
              <w:left w:w="15" w:type="dxa"/>
              <w:right w:w="15" w:type="dxa"/>
            </w:tcMar>
            <w:vAlign w:val="bottom"/>
          </w:tcPr>
          <w:p w14:paraId="18222E6E" w14:textId="29221B2F" w:rsidR="00962EE2" w:rsidRPr="00F86ABE" w:rsidRDefault="00962EE2" w:rsidP="65E0E866">
            <w:pPr>
              <w:spacing w:after="0"/>
              <w:jc w:val="right"/>
              <w:rPr>
                <w:rFonts w:ascii="Arial" w:eastAsia="Arial" w:hAnsi="Arial" w:cs="Arial"/>
                <w:b/>
                <w:bCs/>
                <w:color w:val="808080" w:themeColor="background1" w:themeShade="80"/>
                <w:sz w:val="18"/>
                <w:szCs w:val="18"/>
              </w:rPr>
            </w:pPr>
            <w:r>
              <w:rPr>
                <w:rFonts w:ascii="Arial" w:eastAsia="Arial" w:hAnsi="Arial" w:cs="Arial"/>
                <w:b/>
                <w:bCs/>
                <w:color w:val="808080" w:themeColor="background1" w:themeShade="80"/>
                <w:sz w:val="18"/>
                <w:szCs w:val="18"/>
              </w:rPr>
              <w:t>26,3%</w:t>
            </w:r>
          </w:p>
        </w:tc>
      </w:tr>
      <w:tr w:rsidR="65E0E866" w14:paraId="37D32BA0" w14:textId="77777777" w:rsidTr="00962EE2">
        <w:trPr>
          <w:trHeight w:val="394"/>
        </w:trPr>
        <w:tc>
          <w:tcPr>
            <w:tcW w:w="3395" w:type="dxa"/>
            <w:tcBorders>
              <w:top w:val="nil"/>
              <w:left w:val="single" w:sz="4" w:space="0" w:color="000000" w:themeColor="text1"/>
              <w:bottom w:val="nil"/>
              <w:right w:val="single" w:sz="4" w:space="0" w:color="000000" w:themeColor="text1"/>
            </w:tcBorders>
            <w:shd w:val="clear" w:color="auto" w:fill="FFFFFF" w:themeFill="background1"/>
            <w:tcMar>
              <w:top w:w="15" w:type="dxa"/>
              <w:left w:w="15" w:type="dxa"/>
              <w:right w:w="15" w:type="dxa"/>
            </w:tcMar>
            <w:vAlign w:val="bottom"/>
          </w:tcPr>
          <w:p w14:paraId="4A907EB6" w14:textId="6C02B97E" w:rsidR="65E0E866" w:rsidRPr="00962EE2" w:rsidRDefault="00962EE2" w:rsidP="65E0E866">
            <w:pPr>
              <w:spacing w:after="0"/>
              <w:rPr>
                <w:sz w:val="18"/>
                <w:szCs w:val="18"/>
                <w:lang w:val="en-US"/>
              </w:rPr>
            </w:pPr>
            <w:r>
              <w:rPr>
                <w:rFonts w:ascii="Arial" w:eastAsia="Arial" w:hAnsi="Arial" w:cs="Arial"/>
                <w:sz w:val="18"/>
                <w:szCs w:val="18"/>
                <w:lang w:val="en-US"/>
              </w:rPr>
              <w:t>C</w:t>
            </w:r>
            <w:r w:rsidR="65E0E866" w:rsidRPr="00962EE2">
              <w:rPr>
                <w:rFonts w:ascii="Arial" w:eastAsia="Arial" w:hAnsi="Arial" w:cs="Arial"/>
                <w:sz w:val="18"/>
                <w:szCs w:val="18"/>
                <w:lang w:val="en-US"/>
              </w:rPr>
              <w:t xml:space="preserve">ost of goods sold </w:t>
            </w:r>
          </w:p>
        </w:tc>
        <w:tc>
          <w:tcPr>
            <w:tcW w:w="2696" w:type="dxa"/>
            <w:tcBorders>
              <w:top w:val="nil"/>
              <w:left w:val="single" w:sz="4" w:space="0" w:color="000000" w:themeColor="text1"/>
              <w:bottom w:val="nil"/>
              <w:right w:val="single" w:sz="4" w:space="0" w:color="000000" w:themeColor="text1"/>
            </w:tcBorders>
            <w:shd w:val="clear" w:color="auto" w:fill="FFFFFF" w:themeFill="background1"/>
            <w:tcMar>
              <w:top w:w="15" w:type="dxa"/>
              <w:left w:w="15" w:type="dxa"/>
              <w:right w:w="15" w:type="dxa"/>
            </w:tcMar>
            <w:vAlign w:val="bottom"/>
          </w:tcPr>
          <w:p w14:paraId="486E41EE" w14:textId="77777777" w:rsidR="009F4BD9" w:rsidRPr="00962EE2" w:rsidRDefault="009F4BD9" w:rsidP="65E0E866">
            <w:pPr>
              <w:spacing w:after="0"/>
              <w:jc w:val="right"/>
              <w:rPr>
                <w:rFonts w:ascii="Arial" w:eastAsia="Arial" w:hAnsi="Arial" w:cs="Arial"/>
                <w:sz w:val="18"/>
                <w:szCs w:val="18"/>
                <w:lang w:val="en-US"/>
              </w:rPr>
            </w:pPr>
          </w:p>
          <w:p w14:paraId="2F747D24" w14:textId="77777777" w:rsidR="00962EE2" w:rsidRDefault="00962EE2" w:rsidP="65E0E866">
            <w:pPr>
              <w:spacing w:after="0"/>
              <w:jc w:val="right"/>
              <w:rPr>
                <w:rFonts w:ascii="Arial" w:eastAsia="Arial" w:hAnsi="Arial" w:cs="Arial"/>
                <w:sz w:val="18"/>
                <w:szCs w:val="18"/>
              </w:rPr>
            </w:pPr>
          </w:p>
          <w:p w14:paraId="6A7E0680" w14:textId="2410B174" w:rsidR="65E0E866" w:rsidRPr="00F86ABE" w:rsidRDefault="65E0E866" w:rsidP="65E0E866">
            <w:pPr>
              <w:spacing w:after="0"/>
              <w:jc w:val="right"/>
              <w:rPr>
                <w:sz w:val="18"/>
                <w:szCs w:val="18"/>
              </w:rPr>
            </w:pPr>
            <w:r w:rsidRPr="00F86ABE">
              <w:rPr>
                <w:rFonts w:ascii="Arial" w:eastAsia="Arial" w:hAnsi="Arial" w:cs="Arial"/>
                <w:sz w:val="18"/>
                <w:szCs w:val="18"/>
              </w:rPr>
              <w:t>-29 455</w:t>
            </w:r>
          </w:p>
        </w:tc>
        <w:tc>
          <w:tcPr>
            <w:tcW w:w="2268" w:type="dxa"/>
            <w:tcBorders>
              <w:top w:val="nil"/>
              <w:left w:val="single" w:sz="4" w:space="0" w:color="000000" w:themeColor="text1"/>
              <w:bottom w:val="nil"/>
              <w:right w:val="single" w:sz="4" w:space="0" w:color="000000" w:themeColor="text1"/>
            </w:tcBorders>
            <w:shd w:val="clear" w:color="auto" w:fill="FFFFFF" w:themeFill="background1"/>
            <w:tcMar>
              <w:top w:w="15" w:type="dxa"/>
              <w:left w:w="15" w:type="dxa"/>
              <w:right w:w="15" w:type="dxa"/>
            </w:tcMar>
            <w:vAlign w:val="bottom"/>
          </w:tcPr>
          <w:p w14:paraId="6D7233D2" w14:textId="7AB6BD52" w:rsidR="65E0E866" w:rsidRPr="00F86ABE" w:rsidRDefault="65E0E866" w:rsidP="65E0E866">
            <w:pPr>
              <w:spacing w:after="0"/>
              <w:jc w:val="right"/>
              <w:rPr>
                <w:sz w:val="18"/>
                <w:szCs w:val="18"/>
              </w:rPr>
            </w:pPr>
            <w:r w:rsidRPr="00F86ABE">
              <w:rPr>
                <w:rFonts w:ascii="Arial" w:eastAsia="Arial" w:hAnsi="Arial" w:cs="Arial"/>
                <w:sz w:val="18"/>
                <w:szCs w:val="18"/>
              </w:rPr>
              <w:t>-23 535</w:t>
            </w:r>
          </w:p>
        </w:tc>
        <w:tc>
          <w:tcPr>
            <w:tcW w:w="1951" w:type="dxa"/>
            <w:tcBorders>
              <w:top w:val="nil"/>
              <w:left w:val="single" w:sz="4" w:space="0" w:color="000000" w:themeColor="text1"/>
              <w:bottom w:val="nil"/>
              <w:right w:val="single" w:sz="4" w:space="0" w:color="000000" w:themeColor="text1"/>
            </w:tcBorders>
            <w:shd w:val="clear" w:color="auto" w:fill="FFFFFF" w:themeFill="background1"/>
            <w:tcMar>
              <w:top w:w="15" w:type="dxa"/>
              <w:left w:w="15" w:type="dxa"/>
              <w:right w:w="15" w:type="dxa"/>
            </w:tcMar>
            <w:vAlign w:val="bottom"/>
          </w:tcPr>
          <w:p w14:paraId="58ACBCFB" w14:textId="135B42F3" w:rsidR="65E0E866" w:rsidRPr="00F86ABE" w:rsidRDefault="65E0E866" w:rsidP="65E0E866">
            <w:pPr>
              <w:spacing w:after="0"/>
              <w:jc w:val="right"/>
              <w:rPr>
                <w:sz w:val="18"/>
                <w:szCs w:val="18"/>
              </w:rPr>
            </w:pPr>
            <w:r w:rsidRPr="00F86ABE">
              <w:rPr>
                <w:rFonts w:ascii="Arial" w:eastAsia="Arial" w:hAnsi="Arial" w:cs="Arial"/>
                <w:b/>
                <w:bCs/>
                <w:color w:val="808080" w:themeColor="background1" w:themeShade="80"/>
                <w:sz w:val="18"/>
                <w:szCs w:val="18"/>
              </w:rPr>
              <w:t>25,2%</w:t>
            </w:r>
          </w:p>
        </w:tc>
      </w:tr>
      <w:tr w:rsidR="65E0E866" w14:paraId="03A09193" w14:textId="77777777" w:rsidTr="00F86ABE">
        <w:trPr>
          <w:trHeight w:val="314"/>
        </w:trPr>
        <w:tc>
          <w:tcPr>
            <w:tcW w:w="3395" w:type="dxa"/>
            <w:tcBorders>
              <w:top w:val="single" w:sz="4" w:space="0" w:color="auto"/>
              <w:left w:val="single" w:sz="4" w:space="0" w:color="000000" w:themeColor="text1"/>
              <w:bottom w:val="single" w:sz="4" w:space="0" w:color="auto"/>
              <w:right w:val="single" w:sz="4" w:space="0" w:color="000000" w:themeColor="text1"/>
            </w:tcBorders>
            <w:shd w:val="clear" w:color="auto" w:fill="FFFFFF" w:themeFill="background1"/>
            <w:tcMar>
              <w:top w:w="15" w:type="dxa"/>
              <w:left w:w="15" w:type="dxa"/>
              <w:right w:w="15" w:type="dxa"/>
            </w:tcMar>
            <w:vAlign w:val="bottom"/>
          </w:tcPr>
          <w:p w14:paraId="00F6B4BD" w14:textId="787830C9" w:rsidR="65E0E866" w:rsidRPr="00F86ABE" w:rsidRDefault="65E0E866" w:rsidP="65E0E866">
            <w:pPr>
              <w:spacing w:after="0"/>
              <w:rPr>
                <w:sz w:val="18"/>
                <w:szCs w:val="18"/>
              </w:rPr>
            </w:pPr>
            <w:r w:rsidRPr="00F86ABE">
              <w:rPr>
                <w:rFonts w:ascii="Arial" w:eastAsia="Arial" w:hAnsi="Arial" w:cs="Arial"/>
                <w:b/>
                <w:bCs/>
                <w:sz w:val="18"/>
                <w:szCs w:val="18"/>
              </w:rPr>
              <w:t xml:space="preserve">Gross </w:t>
            </w:r>
            <w:proofErr w:type="spellStart"/>
            <w:r w:rsidRPr="00F86ABE">
              <w:rPr>
                <w:rFonts w:ascii="Arial" w:eastAsia="Arial" w:hAnsi="Arial" w:cs="Arial"/>
                <w:b/>
                <w:bCs/>
                <w:sz w:val="18"/>
                <w:szCs w:val="18"/>
              </w:rPr>
              <w:t>margin</w:t>
            </w:r>
            <w:proofErr w:type="spellEnd"/>
            <w:r w:rsidRPr="00F86ABE">
              <w:rPr>
                <w:rFonts w:cs="Calibri"/>
                <w:color w:val="000000" w:themeColor="text1"/>
                <w:sz w:val="18"/>
                <w:szCs w:val="18"/>
              </w:rPr>
              <w:t xml:space="preserve"> </w:t>
            </w:r>
          </w:p>
        </w:tc>
        <w:tc>
          <w:tcPr>
            <w:tcW w:w="2696" w:type="dxa"/>
            <w:tcBorders>
              <w:top w:val="single" w:sz="4" w:space="0" w:color="auto"/>
              <w:left w:val="single" w:sz="4" w:space="0" w:color="000000" w:themeColor="text1"/>
              <w:bottom w:val="single" w:sz="4" w:space="0" w:color="auto"/>
              <w:right w:val="single" w:sz="4" w:space="0" w:color="000000" w:themeColor="text1"/>
            </w:tcBorders>
            <w:shd w:val="clear" w:color="auto" w:fill="FFFFFF" w:themeFill="background1"/>
            <w:tcMar>
              <w:top w:w="15" w:type="dxa"/>
              <w:left w:w="15" w:type="dxa"/>
              <w:right w:w="15" w:type="dxa"/>
            </w:tcMar>
            <w:vAlign w:val="bottom"/>
          </w:tcPr>
          <w:p w14:paraId="67D1BCF3" w14:textId="4BA88D4F" w:rsidR="65E0E866" w:rsidRPr="00F86ABE" w:rsidRDefault="65E0E866" w:rsidP="65E0E866">
            <w:pPr>
              <w:spacing w:after="0"/>
              <w:jc w:val="right"/>
              <w:rPr>
                <w:sz w:val="18"/>
                <w:szCs w:val="18"/>
              </w:rPr>
            </w:pPr>
            <w:r w:rsidRPr="00F86ABE">
              <w:rPr>
                <w:rFonts w:ascii="Arial" w:eastAsia="Arial" w:hAnsi="Arial" w:cs="Arial"/>
                <w:b/>
                <w:bCs/>
                <w:sz w:val="18"/>
                <w:szCs w:val="18"/>
              </w:rPr>
              <w:t>44 557</w:t>
            </w:r>
          </w:p>
        </w:tc>
        <w:tc>
          <w:tcPr>
            <w:tcW w:w="2268" w:type="dxa"/>
            <w:tcBorders>
              <w:top w:val="single" w:sz="4" w:space="0" w:color="auto"/>
              <w:left w:val="single" w:sz="4" w:space="0" w:color="000000" w:themeColor="text1"/>
              <w:bottom w:val="single" w:sz="4" w:space="0" w:color="auto"/>
              <w:right w:val="single" w:sz="4" w:space="0" w:color="000000" w:themeColor="text1"/>
            </w:tcBorders>
            <w:shd w:val="clear" w:color="auto" w:fill="FFFFFF" w:themeFill="background1"/>
            <w:tcMar>
              <w:top w:w="15" w:type="dxa"/>
              <w:left w:w="15" w:type="dxa"/>
              <w:right w:w="15" w:type="dxa"/>
            </w:tcMar>
            <w:vAlign w:val="bottom"/>
          </w:tcPr>
          <w:p w14:paraId="6FA5BEB1" w14:textId="166E7183" w:rsidR="65E0E866" w:rsidRPr="00F86ABE" w:rsidRDefault="65E0E866" w:rsidP="65E0E866">
            <w:pPr>
              <w:spacing w:after="0"/>
              <w:jc w:val="right"/>
              <w:rPr>
                <w:sz w:val="18"/>
                <w:szCs w:val="18"/>
              </w:rPr>
            </w:pPr>
            <w:r w:rsidRPr="00F86ABE">
              <w:rPr>
                <w:rFonts w:ascii="Arial" w:eastAsia="Arial" w:hAnsi="Arial" w:cs="Arial"/>
                <w:b/>
                <w:bCs/>
                <w:sz w:val="18"/>
                <w:szCs w:val="18"/>
              </w:rPr>
              <w:t>35 086</w:t>
            </w:r>
          </w:p>
        </w:tc>
        <w:tc>
          <w:tcPr>
            <w:tcW w:w="1951" w:type="dxa"/>
            <w:tcBorders>
              <w:top w:val="single" w:sz="4" w:space="0" w:color="auto"/>
              <w:left w:val="single" w:sz="4" w:space="0" w:color="000000" w:themeColor="text1"/>
              <w:bottom w:val="single" w:sz="4" w:space="0" w:color="auto"/>
              <w:right w:val="single" w:sz="4" w:space="0" w:color="000000" w:themeColor="text1"/>
            </w:tcBorders>
            <w:shd w:val="clear" w:color="auto" w:fill="FFFFFF" w:themeFill="background1"/>
            <w:tcMar>
              <w:top w:w="15" w:type="dxa"/>
              <w:left w:w="15" w:type="dxa"/>
              <w:right w:w="15" w:type="dxa"/>
            </w:tcMar>
            <w:vAlign w:val="bottom"/>
          </w:tcPr>
          <w:p w14:paraId="5B47D6B3" w14:textId="5C0F4B8A" w:rsidR="65E0E866" w:rsidRPr="00F86ABE" w:rsidRDefault="65E0E866" w:rsidP="65E0E866">
            <w:pPr>
              <w:spacing w:after="0"/>
              <w:jc w:val="right"/>
              <w:rPr>
                <w:sz w:val="18"/>
                <w:szCs w:val="18"/>
              </w:rPr>
            </w:pPr>
            <w:r w:rsidRPr="00F86ABE">
              <w:rPr>
                <w:rFonts w:ascii="Arial" w:eastAsia="Arial" w:hAnsi="Arial" w:cs="Arial"/>
                <w:b/>
                <w:bCs/>
                <w:sz w:val="18"/>
                <w:szCs w:val="18"/>
              </w:rPr>
              <w:t>27,0%</w:t>
            </w:r>
          </w:p>
        </w:tc>
      </w:tr>
      <w:tr w:rsidR="65E0E866" w14:paraId="71E8428B" w14:textId="77777777" w:rsidTr="00F86ABE">
        <w:trPr>
          <w:trHeight w:val="314"/>
        </w:trPr>
        <w:tc>
          <w:tcPr>
            <w:tcW w:w="3395" w:type="dxa"/>
            <w:tcBorders>
              <w:top w:val="single" w:sz="4" w:space="0" w:color="auto"/>
              <w:left w:val="single" w:sz="4" w:space="0" w:color="000000" w:themeColor="text1"/>
              <w:bottom w:val="nil"/>
              <w:right w:val="single" w:sz="4" w:space="0" w:color="auto"/>
            </w:tcBorders>
            <w:shd w:val="clear" w:color="auto" w:fill="FFFFFF" w:themeFill="background1"/>
            <w:tcMar>
              <w:top w:w="15" w:type="dxa"/>
              <w:left w:w="15" w:type="dxa"/>
              <w:right w:w="15" w:type="dxa"/>
            </w:tcMar>
            <w:vAlign w:val="bottom"/>
          </w:tcPr>
          <w:p w14:paraId="4A44438F" w14:textId="2BE2A7F1" w:rsidR="65E0E866" w:rsidRPr="00F86ABE" w:rsidRDefault="65E0E866" w:rsidP="65E0E866">
            <w:pPr>
              <w:spacing w:after="0"/>
              <w:rPr>
                <w:sz w:val="18"/>
                <w:szCs w:val="18"/>
              </w:rPr>
            </w:pPr>
            <w:proofErr w:type="spellStart"/>
            <w:r w:rsidRPr="00F86ABE">
              <w:rPr>
                <w:rFonts w:ascii="Arial" w:eastAsia="Arial" w:hAnsi="Arial" w:cs="Arial"/>
                <w:sz w:val="18"/>
                <w:szCs w:val="18"/>
              </w:rPr>
              <w:t>External</w:t>
            </w:r>
            <w:proofErr w:type="spellEnd"/>
            <w:r w:rsidRPr="00F86ABE">
              <w:rPr>
                <w:rFonts w:ascii="Arial" w:eastAsia="Arial" w:hAnsi="Arial" w:cs="Arial"/>
                <w:sz w:val="18"/>
                <w:szCs w:val="18"/>
              </w:rPr>
              <w:t xml:space="preserve"> Services </w:t>
            </w:r>
          </w:p>
        </w:tc>
        <w:tc>
          <w:tcPr>
            <w:tcW w:w="2696" w:type="dxa"/>
            <w:tcBorders>
              <w:top w:val="single" w:sz="4" w:space="0" w:color="auto"/>
              <w:left w:val="single" w:sz="4" w:space="0" w:color="auto"/>
              <w:bottom w:val="nil"/>
              <w:right w:val="single" w:sz="4" w:space="0" w:color="auto"/>
            </w:tcBorders>
            <w:shd w:val="clear" w:color="auto" w:fill="FFFFFF" w:themeFill="background1"/>
            <w:tcMar>
              <w:top w:w="15" w:type="dxa"/>
              <w:left w:w="15" w:type="dxa"/>
              <w:right w:w="15" w:type="dxa"/>
            </w:tcMar>
            <w:vAlign w:val="bottom"/>
          </w:tcPr>
          <w:p w14:paraId="58E32148" w14:textId="18C3F187" w:rsidR="65E0E866" w:rsidRPr="00F86ABE" w:rsidRDefault="65E0E866" w:rsidP="65E0E866">
            <w:pPr>
              <w:spacing w:after="0"/>
              <w:jc w:val="right"/>
              <w:rPr>
                <w:sz w:val="18"/>
                <w:szCs w:val="18"/>
              </w:rPr>
            </w:pPr>
            <w:r w:rsidRPr="00F86ABE">
              <w:rPr>
                <w:rFonts w:ascii="Arial" w:eastAsia="Arial" w:hAnsi="Arial" w:cs="Arial"/>
                <w:sz w:val="18"/>
                <w:szCs w:val="18"/>
              </w:rPr>
              <w:t>-22 400</w:t>
            </w:r>
          </w:p>
        </w:tc>
        <w:tc>
          <w:tcPr>
            <w:tcW w:w="2268" w:type="dxa"/>
            <w:tcBorders>
              <w:top w:val="single" w:sz="4" w:space="0" w:color="auto"/>
              <w:left w:val="single" w:sz="4" w:space="0" w:color="auto"/>
              <w:bottom w:val="nil"/>
              <w:right w:val="single" w:sz="4" w:space="0" w:color="auto"/>
            </w:tcBorders>
            <w:shd w:val="clear" w:color="auto" w:fill="FFFFFF" w:themeFill="background1"/>
            <w:tcMar>
              <w:top w:w="15" w:type="dxa"/>
              <w:left w:w="15" w:type="dxa"/>
              <w:right w:w="15" w:type="dxa"/>
            </w:tcMar>
            <w:vAlign w:val="bottom"/>
          </w:tcPr>
          <w:p w14:paraId="77B86EC3" w14:textId="3E9CC377" w:rsidR="65E0E866" w:rsidRPr="00F86ABE" w:rsidRDefault="65E0E866" w:rsidP="65E0E866">
            <w:pPr>
              <w:spacing w:after="0"/>
              <w:jc w:val="right"/>
              <w:rPr>
                <w:sz w:val="18"/>
                <w:szCs w:val="18"/>
              </w:rPr>
            </w:pPr>
            <w:r w:rsidRPr="00F86ABE">
              <w:rPr>
                <w:rFonts w:ascii="Arial" w:eastAsia="Arial" w:hAnsi="Arial" w:cs="Arial"/>
                <w:sz w:val="18"/>
                <w:szCs w:val="18"/>
              </w:rPr>
              <w:t>-17 374</w:t>
            </w:r>
          </w:p>
        </w:tc>
        <w:tc>
          <w:tcPr>
            <w:tcW w:w="1951" w:type="dxa"/>
            <w:tcBorders>
              <w:top w:val="single" w:sz="4" w:space="0" w:color="auto"/>
              <w:left w:val="single" w:sz="4" w:space="0" w:color="auto"/>
              <w:bottom w:val="nil"/>
              <w:right w:val="single" w:sz="4" w:space="0" w:color="auto"/>
            </w:tcBorders>
            <w:shd w:val="clear" w:color="auto" w:fill="FFFFFF" w:themeFill="background1"/>
            <w:tcMar>
              <w:top w:w="15" w:type="dxa"/>
              <w:left w:w="15" w:type="dxa"/>
              <w:right w:w="15" w:type="dxa"/>
            </w:tcMar>
            <w:vAlign w:val="bottom"/>
          </w:tcPr>
          <w:p w14:paraId="1C900C96" w14:textId="11D96B1B" w:rsidR="65E0E866" w:rsidRPr="00F86ABE" w:rsidRDefault="65E0E866" w:rsidP="65E0E866">
            <w:pPr>
              <w:spacing w:after="0"/>
              <w:jc w:val="right"/>
              <w:rPr>
                <w:sz w:val="18"/>
                <w:szCs w:val="18"/>
              </w:rPr>
            </w:pPr>
            <w:r w:rsidRPr="00F86ABE">
              <w:rPr>
                <w:rFonts w:ascii="Arial" w:eastAsia="Arial" w:hAnsi="Arial" w:cs="Arial"/>
                <w:b/>
                <w:bCs/>
                <w:color w:val="808080" w:themeColor="background1" w:themeShade="80"/>
                <w:sz w:val="18"/>
                <w:szCs w:val="18"/>
              </w:rPr>
              <w:t>28,9%</w:t>
            </w:r>
          </w:p>
        </w:tc>
      </w:tr>
      <w:tr w:rsidR="65E0E866" w14:paraId="68140834" w14:textId="77777777" w:rsidTr="00F86ABE">
        <w:trPr>
          <w:trHeight w:val="314"/>
        </w:trPr>
        <w:tc>
          <w:tcPr>
            <w:tcW w:w="3395" w:type="dxa"/>
            <w:tcBorders>
              <w:top w:val="nil"/>
              <w:left w:val="single" w:sz="4" w:space="0" w:color="000000" w:themeColor="text1"/>
              <w:bottom w:val="nil"/>
              <w:right w:val="single" w:sz="4" w:space="0" w:color="auto"/>
            </w:tcBorders>
            <w:shd w:val="clear" w:color="auto" w:fill="FFFFFF" w:themeFill="background1"/>
            <w:tcMar>
              <w:top w:w="15" w:type="dxa"/>
              <w:left w:w="15" w:type="dxa"/>
              <w:right w:w="15" w:type="dxa"/>
            </w:tcMar>
            <w:vAlign w:val="bottom"/>
          </w:tcPr>
          <w:p w14:paraId="6768D430" w14:textId="575F298D" w:rsidR="65E0E866" w:rsidRPr="00F86ABE" w:rsidRDefault="65E0E866" w:rsidP="65E0E866">
            <w:pPr>
              <w:spacing w:after="0"/>
              <w:rPr>
                <w:sz w:val="18"/>
                <w:szCs w:val="18"/>
                <w:lang w:val="en-US"/>
              </w:rPr>
            </w:pPr>
            <w:r w:rsidRPr="00F86ABE">
              <w:rPr>
                <w:rFonts w:ascii="Arial" w:eastAsia="Arial" w:hAnsi="Arial" w:cs="Arial"/>
                <w:sz w:val="18"/>
                <w:szCs w:val="18"/>
                <w:lang w:val="en-US"/>
              </w:rPr>
              <w:t xml:space="preserve">Taxes (excluding corporate income tax) </w:t>
            </w:r>
          </w:p>
        </w:tc>
        <w:tc>
          <w:tcPr>
            <w:tcW w:w="2696" w:type="dxa"/>
            <w:tcBorders>
              <w:top w:val="nil"/>
              <w:left w:val="single" w:sz="4" w:space="0" w:color="auto"/>
              <w:bottom w:val="nil"/>
              <w:right w:val="single" w:sz="4" w:space="0" w:color="auto"/>
            </w:tcBorders>
            <w:shd w:val="clear" w:color="auto" w:fill="FFFFFF" w:themeFill="background1"/>
            <w:tcMar>
              <w:top w:w="15" w:type="dxa"/>
              <w:left w:w="15" w:type="dxa"/>
              <w:right w:w="15" w:type="dxa"/>
            </w:tcMar>
            <w:vAlign w:val="bottom"/>
          </w:tcPr>
          <w:p w14:paraId="71D307FF" w14:textId="678DFD66" w:rsidR="65E0E866" w:rsidRPr="00F86ABE" w:rsidRDefault="65E0E866" w:rsidP="65E0E866">
            <w:pPr>
              <w:spacing w:after="0"/>
              <w:jc w:val="right"/>
              <w:rPr>
                <w:sz w:val="18"/>
                <w:szCs w:val="18"/>
              </w:rPr>
            </w:pPr>
            <w:r w:rsidRPr="00F86ABE">
              <w:rPr>
                <w:rFonts w:ascii="Arial" w:eastAsia="Arial" w:hAnsi="Arial" w:cs="Arial"/>
                <w:sz w:val="18"/>
                <w:szCs w:val="18"/>
              </w:rPr>
              <w:t>-58</w:t>
            </w:r>
          </w:p>
        </w:tc>
        <w:tc>
          <w:tcPr>
            <w:tcW w:w="2268" w:type="dxa"/>
            <w:tcBorders>
              <w:top w:val="nil"/>
              <w:left w:val="single" w:sz="4" w:space="0" w:color="auto"/>
              <w:bottom w:val="nil"/>
              <w:right w:val="single" w:sz="4" w:space="0" w:color="auto"/>
            </w:tcBorders>
            <w:shd w:val="clear" w:color="auto" w:fill="FFFFFF" w:themeFill="background1"/>
            <w:tcMar>
              <w:top w:w="15" w:type="dxa"/>
              <w:left w:w="15" w:type="dxa"/>
              <w:right w:w="15" w:type="dxa"/>
            </w:tcMar>
            <w:vAlign w:val="bottom"/>
          </w:tcPr>
          <w:p w14:paraId="314B9AC2" w14:textId="61435EA1" w:rsidR="65E0E866" w:rsidRPr="00F86ABE" w:rsidRDefault="65E0E866" w:rsidP="65E0E866">
            <w:pPr>
              <w:spacing w:after="0"/>
              <w:jc w:val="right"/>
              <w:rPr>
                <w:sz w:val="18"/>
                <w:szCs w:val="18"/>
              </w:rPr>
            </w:pPr>
            <w:r w:rsidRPr="00F86ABE">
              <w:rPr>
                <w:rFonts w:ascii="Arial" w:eastAsia="Arial" w:hAnsi="Arial" w:cs="Arial"/>
                <w:sz w:val="18"/>
                <w:szCs w:val="18"/>
              </w:rPr>
              <w:t>-25</w:t>
            </w:r>
          </w:p>
        </w:tc>
        <w:tc>
          <w:tcPr>
            <w:tcW w:w="1951" w:type="dxa"/>
            <w:tcBorders>
              <w:top w:val="nil"/>
              <w:left w:val="single" w:sz="4" w:space="0" w:color="auto"/>
              <w:bottom w:val="nil"/>
              <w:right w:val="single" w:sz="4" w:space="0" w:color="auto"/>
            </w:tcBorders>
            <w:shd w:val="clear" w:color="auto" w:fill="FFFFFF" w:themeFill="background1"/>
            <w:tcMar>
              <w:top w:w="15" w:type="dxa"/>
              <w:left w:w="15" w:type="dxa"/>
              <w:right w:w="15" w:type="dxa"/>
            </w:tcMar>
            <w:vAlign w:val="bottom"/>
          </w:tcPr>
          <w:p w14:paraId="0866866D" w14:textId="592657AB" w:rsidR="65E0E866" w:rsidRPr="00F86ABE" w:rsidRDefault="65E0E866" w:rsidP="65E0E866">
            <w:pPr>
              <w:spacing w:after="0"/>
              <w:jc w:val="right"/>
              <w:rPr>
                <w:sz w:val="18"/>
                <w:szCs w:val="18"/>
              </w:rPr>
            </w:pPr>
            <w:r w:rsidRPr="00F86ABE">
              <w:rPr>
                <w:rFonts w:ascii="Arial" w:eastAsia="Arial" w:hAnsi="Arial" w:cs="Arial"/>
                <w:b/>
                <w:bCs/>
                <w:color w:val="808080" w:themeColor="background1" w:themeShade="80"/>
                <w:sz w:val="18"/>
                <w:szCs w:val="18"/>
              </w:rPr>
              <w:t>134,4%</w:t>
            </w:r>
          </w:p>
        </w:tc>
      </w:tr>
      <w:tr w:rsidR="65E0E866" w14:paraId="1751711E" w14:textId="77777777" w:rsidTr="00F86ABE">
        <w:trPr>
          <w:trHeight w:val="314"/>
        </w:trPr>
        <w:tc>
          <w:tcPr>
            <w:tcW w:w="3395" w:type="dxa"/>
            <w:tcBorders>
              <w:top w:val="nil"/>
              <w:left w:val="single" w:sz="4" w:space="0" w:color="000000" w:themeColor="text1"/>
              <w:bottom w:val="nil"/>
              <w:right w:val="single" w:sz="4" w:space="0" w:color="auto"/>
            </w:tcBorders>
            <w:shd w:val="clear" w:color="auto" w:fill="FFFFFF" w:themeFill="background1"/>
            <w:tcMar>
              <w:top w:w="15" w:type="dxa"/>
              <w:left w:w="15" w:type="dxa"/>
              <w:right w:w="15" w:type="dxa"/>
            </w:tcMar>
            <w:vAlign w:val="bottom"/>
          </w:tcPr>
          <w:p w14:paraId="38989622" w14:textId="449B1DF7" w:rsidR="65E0E866" w:rsidRPr="00F86ABE" w:rsidRDefault="65E0E866" w:rsidP="65E0E866">
            <w:pPr>
              <w:spacing w:after="0"/>
              <w:rPr>
                <w:sz w:val="18"/>
                <w:szCs w:val="18"/>
              </w:rPr>
            </w:pPr>
            <w:r w:rsidRPr="00F86ABE">
              <w:rPr>
                <w:rFonts w:ascii="Arial" w:eastAsia="Arial" w:hAnsi="Arial" w:cs="Arial"/>
                <w:sz w:val="18"/>
                <w:szCs w:val="18"/>
              </w:rPr>
              <w:t xml:space="preserve">Personnel expenses </w:t>
            </w:r>
          </w:p>
        </w:tc>
        <w:tc>
          <w:tcPr>
            <w:tcW w:w="2696" w:type="dxa"/>
            <w:tcBorders>
              <w:top w:val="nil"/>
              <w:left w:val="single" w:sz="4" w:space="0" w:color="auto"/>
              <w:bottom w:val="nil"/>
              <w:right w:val="single" w:sz="4" w:space="0" w:color="auto"/>
            </w:tcBorders>
            <w:shd w:val="clear" w:color="auto" w:fill="FFFFFF" w:themeFill="background1"/>
            <w:tcMar>
              <w:top w:w="15" w:type="dxa"/>
              <w:left w:w="15" w:type="dxa"/>
              <w:right w:w="15" w:type="dxa"/>
            </w:tcMar>
            <w:vAlign w:val="bottom"/>
          </w:tcPr>
          <w:p w14:paraId="5A465441" w14:textId="59B22838" w:rsidR="65E0E866" w:rsidRPr="00F86ABE" w:rsidRDefault="65E0E866" w:rsidP="65E0E866">
            <w:pPr>
              <w:spacing w:after="0"/>
              <w:jc w:val="right"/>
              <w:rPr>
                <w:sz w:val="18"/>
                <w:szCs w:val="18"/>
              </w:rPr>
            </w:pPr>
            <w:r w:rsidRPr="00F86ABE">
              <w:rPr>
                <w:rFonts w:ascii="Arial" w:eastAsia="Arial" w:hAnsi="Arial" w:cs="Arial"/>
                <w:sz w:val="18"/>
                <w:szCs w:val="18"/>
              </w:rPr>
              <w:t>-6 713</w:t>
            </w:r>
          </w:p>
        </w:tc>
        <w:tc>
          <w:tcPr>
            <w:tcW w:w="2268" w:type="dxa"/>
            <w:tcBorders>
              <w:top w:val="nil"/>
              <w:left w:val="single" w:sz="4" w:space="0" w:color="auto"/>
              <w:bottom w:val="nil"/>
              <w:right w:val="single" w:sz="4" w:space="0" w:color="auto"/>
            </w:tcBorders>
            <w:shd w:val="clear" w:color="auto" w:fill="FFFFFF" w:themeFill="background1"/>
            <w:tcMar>
              <w:top w:w="15" w:type="dxa"/>
              <w:left w:w="15" w:type="dxa"/>
              <w:right w:w="15" w:type="dxa"/>
            </w:tcMar>
            <w:vAlign w:val="bottom"/>
          </w:tcPr>
          <w:p w14:paraId="56AAABD2" w14:textId="69C29C36" w:rsidR="65E0E866" w:rsidRPr="00F86ABE" w:rsidRDefault="65E0E866" w:rsidP="65E0E866">
            <w:pPr>
              <w:spacing w:after="0"/>
              <w:jc w:val="right"/>
              <w:rPr>
                <w:sz w:val="18"/>
                <w:szCs w:val="18"/>
              </w:rPr>
            </w:pPr>
            <w:r w:rsidRPr="00F86ABE">
              <w:rPr>
                <w:rFonts w:ascii="Arial" w:eastAsia="Arial" w:hAnsi="Arial" w:cs="Arial"/>
                <w:sz w:val="18"/>
                <w:szCs w:val="18"/>
              </w:rPr>
              <w:t>-6 185</w:t>
            </w:r>
          </w:p>
        </w:tc>
        <w:tc>
          <w:tcPr>
            <w:tcW w:w="1951" w:type="dxa"/>
            <w:tcBorders>
              <w:top w:val="nil"/>
              <w:left w:val="single" w:sz="4" w:space="0" w:color="auto"/>
              <w:bottom w:val="nil"/>
              <w:right w:val="single" w:sz="4" w:space="0" w:color="auto"/>
            </w:tcBorders>
            <w:shd w:val="clear" w:color="auto" w:fill="FFFFFF" w:themeFill="background1"/>
            <w:tcMar>
              <w:top w:w="15" w:type="dxa"/>
              <w:left w:w="15" w:type="dxa"/>
              <w:right w:w="15" w:type="dxa"/>
            </w:tcMar>
            <w:vAlign w:val="bottom"/>
          </w:tcPr>
          <w:p w14:paraId="454EE4F9" w14:textId="2E683DD1" w:rsidR="65E0E866" w:rsidRPr="00F86ABE" w:rsidRDefault="65E0E866" w:rsidP="65E0E866">
            <w:pPr>
              <w:spacing w:after="0"/>
              <w:jc w:val="right"/>
              <w:rPr>
                <w:sz w:val="18"/>
                <w:szCs w:val="18"/>
              </w:rPr>
            </w:pPr>
            <w:r w:rsidRPr="00F86ABE">
              <w:rPr>
                <w:rFonts w:ascii="Arial" w:eastAsia="Arial" w:hAnsi="Arial" w:cs="Arial"/>
                <w:b/>
                <w:bCs/>
                <w:color w:val="808080" w:themeColor="background1" w:themeShade="80"/>
                <w:sz w:val="18"/>
                <w:szCs w:val="18"/>
              </w:rPr>
              <w:t>8,5%</w:t>
            </w:r>
          </w:p>
        </w:tc>
      </w:tr>
      <w:tr w:rsidR="65E0E866" w14:paraId="52C7DE5B" w14:textId="77777777" w:rsidTr="00F86ABE">
        <w:trPr>
          <w:trHeight w:val="314"/>
        </w:trPr>
        <w:tc>
          <w:tcPr>
            <w:tcW w:w="3395" w:type="dxa"/>
            <w:tcBorders>
              <w:top w:val="nil"/>
              <w:left w:val="single" w:sz="4" w:space="0" w:color="000000" w:themeColor="text1"/>
              <w:bottom w:val="single" w:sz="4" w:space="0" w:color="auto"/>
              <w:right w:val="single" w:sz="4" w:space="0" w:color="auto"/>
            </w:tcBorders>
            <w:shd w:val="clear" w:color="auto" w:fill="FFFFFF" w:themeFill="background1"/>
            <w:tcMar>
              <w:top w:w="15" w:type="dxa"/>
              <w:left w:w="15" w:type="dxa"/>
              <w:right w:w="15" w:type="dxa"/>
            </w:tcMar>
            <w:vAlign w:val="bottom"/>
          </w:tcPr>
          <w:p w14:paraId="4E648522" w14:textId="294F252C" w:rsidR="65E0E866" w:rsidRPr="00F86ABE" w:rsidRDefault="65E0E866" w:rsidP="65E0E866">
            <w:pPr>
              <w:spacing w:after="0"/>
              <w:rPr>
                <w:sz w:val="18"/>
                <w:szCs w:val="18"/>
                <w:lang w:val="en-US"/>
              </w:rPr>
            </w:pPr>
            <w:r w:rsidRPr="00F86ABE">
              <w:rPr>
                <w:rFonts w:ascii="Arial" w:eastAsia="Arial" w:hAnsi="Arial" w:cs="Arial"/>
                <w:sz w:val="18"/>
                <w:szCs w:val="18"/>
                <w:lang w:val="en-US"/>
              </w:rPr>
              <w:t xml:space="preserve">Other operating income and expenses </w:t>
            </w:r>
          </w:p>
        </w:tc>
        <w:tc>
          <w:tcPr>
            <w:tcW w:w="2696" w:type="dxa"/>
            <w:tcBorders>
              <w:top w:val="nil"/>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bottom"/>
          </w:tcPr>
          <w:p w14:paraId="4F618447" w14:textId="4641583C" w:rsidR="65E0E866" w:rsidRPr="00F86ABE" w:rsidRDefault="65E0E866" w:rsidP="65E0E866">
            <w:pPr>
              <w:spacing w:after="0"/>
              <w:jc w:val="right"/>
              <w:rPr>
                <w:sz w:val="18"/>
                <w:szCs w:val="18"/>
              </w:rPr>
            </w:pPr>
            <w:r w:rsidRPr="00F86ABE">
              <w:rPr>
                <w:rFonts w:ascii="Arial" w:eastAsia="Arial" w:hAnsi="Arial" w:cs="Arial"/>
                <w:sz w:val="18"/>
                <w:szCs w:val="18"/>
              </w:rPr>
              <w:t>-7 288</w:t>
            </w:r>
          </w:p>
        </w:tc>
        <w:tc>
          <w:tcPr>
            <w:tcW w:w="2268" w:type="dxa"/>
            <w:tcBorders>
              <w:top w:val="nil"/>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bottom"/>
          </w:tcPr>
          <w:p w14:paraId="63E4C58C" w14:textId="0CE315F3" w:rsidR="65E0E866" w:rsidRPr="00F86ABE" w:rsidRDefault="65E0E866" w:rsidP="65E0E866">
            <w:pPr>
              <w:spacing w:after="0"/>
              <w:jc w:val="right"/>
              <w:rPr>
                <w:sz w:val="18"/>
                <w:szCs w:val="18"/>
              </w:rPr>
            </w:pPr>
            <w:r w:rsidRPr="00F86ABE">
              <w:rPr>
                <w:rFonts w:ascii="Arial" w:eastAsia="Arial" w:hAnsi="Arial" w:cs="Arial"/>
                <w:sz w:val="18"/>
                <w:szCs w:val="18"/>
              </w:rPr>
              <w:t>-5 551</w:t>
            </w:r>
          </w:p>
        </w:tc>
        <w:tc>
          <w:tcPr>
            <w:tcW w:w="1951" w:type="dxa"/>
            <w:tcBorders>
              <w:top w:val="nil"/>
              <w:left w:val="single" w:sz="4" w:space="0" w:color="auto"/>
              <w:bottom w:val="nil"/>
              <w:right w:val="single" w:sz="4" w:space="0" w:color="auto"/>
            </w:tcBorders>
            <w:shd w:val="clear" w:color="auto" w:fill="FFFFFF" w:themeFill="background1"/>
            <w:tcMar>
              <w:top w:w="15" w:type="dxa"/>
              <w:left w:w="15" w:type="dxa"/>
              <w:right w:w="15" w:type="dxa"/>
            </w:tcMar>
            <w:vAlign w:val="bottom"/>
          </w:tcPr>
          <w:p w14:paraId="79AF0EE2" w14:textId="3473A352" w:rsidR="65E0E866" w:rsidRPr="00F86ABE" w:rsidRDefault="65E0E866" w:rsidP="65E0E866">
            <w:pPr>
              <w:spacing w:after="0"/>
              <w:jc w:val="right"/>
              <w:rPr>
                <w:sz w:val="18"/>
                <w:szCs w:val="18"/>
              </w:rPr>
            </w:pPr>
            <w:r w:rsidRPr="00F86ABE">
              <w:rPr>
                <w:rFonts w:ascii="Arial" w:eastAsia="Arial" w:hAnsi="Arial" w:cs="Arial"/>
                <w:b/>
                <w:bCs/>
                <w:color w:val="808080" w:themeColor="background1" w:themeShade="80"/>
                <w:sz w:val="18"/>
                <w:szCs w:val="18"/>
              </w:rPr>
              <w:t>31,3%</w:t>
            </w:r>
          </w:p>
        </w:tc>
      </w:tr>
      <w:tr w:rsidR="65E0E866" w14:paraId="104F9FAC" w14:textId="77777777" w:rsidTr="00F86ABE">
        <w:trPr>
          <w:trHeight w:val="314"/>
        </w:trPr>
        <w:tc>
          <w:tcPr>
            <w:tcW w:w="3395" w:type="dxa"/>
            <w:tcBorders>
              <w:top w:val="single" w:sz="4" w:space="0" w:color="auto"/>
              <w:left w:val="single" w:sz="4" w:space="0" w:color="000000" w:themeColor="text1"/>
              <w:bottom w:val="single" w:sz="4" w:space="0" w:color="auto"/>
              <w:right w:val="single" w:sz="4" w:space="0" w:color="auto"/>
            </w:tcBorders>
            <w:shd w:val="clear" w:color="auto" w:fill="FFFFFF" w:themeFill="background1"/>
            <w:tcMar>
              <w:top w:w="15" w:type="dxa"/>
              <w:left w:w="15" w:type="dxa"/>
              <w:right w:w="15" w:type="dxa"/>
            </w:tcMar>
            <w:vAlign w:val="bottom"/>
          </w:tcPr>
          <w:p w14:paraId="65ECF9F4" w14:textId="6FDEB509" w:rsidR="65E0E866" w:rsidRPr="00F86ABE" w:rsidRDefault="65E0E866" w:rsidP="65E0E866">
            <w:pPr>
              <w:spacing w:after="0"/>
              <w:rPr>
                <w:sz w:val="18"/>
                <w:szCs w:val="18"/>
              </w:rPr>
            </w:pPr>
            <w:r w:rsidRPr="00F86ABE">
              <w:rPr>
                <w:rFonts w:ascii="Arial" w:eastAsia="Arial" w:hAnsi="Arial" w:cs="Arial"/>
                <w:b/>
                <w:bCs/>
                <w:sz w:val="18"/>
                <w:szCs w:val="18"/>
              </w:rPr>
              <w:t>Operating income</w:t>
            </w:r>
            <w:r w:rsidRPr="00F86ABE">
              <w:rPr>
                <w:rFonts w:cs="Calibri"/>
                <w:color w:val="000000" w:themeColor="text1"/>
                <w:sz w:val="18"/>
                <w:szCs w:val="18"/>
              </w:rPr>
              <w:t xml:space="preserve"> </w:t>
            </w:r>
          </w:p>
        </w:tc>
        <w:tc>
          <w:tcPr>
            <w:tcW w:w="2696"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bottom"/>
          </w:tcPr>
          <w:p w14:paraId="6EA75C82" w14:textId="62EE4B5F" w:rsidR="65E0E866" w:rsidRPr="00F86ABE" w:rsidRDefault="65E0E866" w:rsidP="65E0E866">
            <w:pPr>
              <w:spacing w:after="0"/>
              <w:jc w:val="right"/>
              <w:rPr>
                <w:sz w:val="18"/>
                <w:szCs w:val="18"/>
              </w:rPr>
            </w:pPr>
            <w:r w:rsidRPr="00F86ABE">
              <w:rPr>
                <w:rFonts w:ascii="Arial" w:eastAsia="Arial" w:hAnsi="Arial" w:cs="Arial"/>
                <w:b/>
                <w:bCs/>
                <w:sz w:val="18"/>
                <w:szCs w:val="18"/>
              </w:rPr>
              <w:t>8 098</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bottom"/>
          </w:tcPr>
          <w:p w14:paraId="20DABB39" w14:textId="34EE08E6" w:rsidR="65E0E866" w:rsidRPr="00F86ABE" w:rsidRDefault="65E0E866" w:rsidP="65E0E866">
            <w:pPr>
              <w:spacing w:after="0"/>
              <w:jc w:val="right"/>
              <w:rPr>
                <w:sz w:val="18"/>
                <w:szCs w:val="18"/>
              </w:rPr>
            </w:pPr>
            <w:r w:rsidRPr="00F86ABE">
              <w:rPr>
                <w:rFonts w:ascii="Arial" w:eastAsia="Arial" w:hAnsi="Arial" w:cs="Arial"/>
                <w:b/>
                <w:bCs/>
                <w:sz w:val="18"/>
                <w:szCs w:val="18"/>
              </w:rPr>
              <w:t>5 951</w:t>
            </w:r>
          </w:p>
        </w:tc>
        <w:tc>
          <w:tcPr>
            <w:tcW w:w="195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bottom"/>
          </w:tcPr>
          <w:p w14:paraId="4305896A" w14:textId="2A46A69E" w:rsidR="65E0E866" w:rsidRPr="00F86ABE" w:rsidRDefault="65E0E866" w:rsidP="65E0E866">
            <w:pPr>
              <w:spacing w:after="0"/>
              <w:jc w:val="right"/>
              <w:rPr>
                <w:sz w:val="18"/>
                <w:szCs w:val="18"/>
              </w:rPr>
            </w:pPr>
            <w:r w:rsidRPr="00F86ABE">
              <w:rPr>
                <w:rFonts w:ascii="Arial" w:eastAsia="Arial" w:hAnsi="Arial" w:cs="Arial"/>
                <w:b/>
                <w:bCs/>
                <w:sz w:val="18"/>
                <w:szCs w:val="18"/>
              </w:rPr>
              <w:t>36,1%</w:t>
            </w:r>
          </w:p>
        </w:tc>
      </w:tr>
      <w:tr w:rsidR="65E0E866" w14:paraId="0129B588" w14:textId="77777777" w:rsidTr="00F86ABE">
        <w:trPr>
          <w:trHeight w:val="314"/>
        </w:trPr>
        <w:tc>
          <w:tcPr>
            <w:tcW w:w="3395" w:type="dxa"/>
            <w:tcBorders>
              <w:top w:val="single" w:sz="4" w:space="0" w:color="auto"/>
              <w:left w:val="single" w:sz="4" w:space="0" w:color="000000" w:themeColor="text1"/>
              <w:bottom w:val="single" w:sz="4" w:space="0" w:color="auto"/>
              <w:right w:val="single" w:sz="4" w:space="0" w:color="auto"/>
            </w:tcBorders>
            <w:shd w:val="clear" w:color="auto" w:fill="FFFFFF" w:themeFill="background1"/>
            <w:tcMar>
              <w:top w:w="15" w:type="dxa"/>
              <w:left w:w="15" w:type="dxa"/>
              <w:right w:w="15" w:type="dxa"/>
            </w:tcMar>
            <w:vAlign w:val="bottom"/>
          </w:tcPr>
          <w:p w14:paraId="0705A874" w14:textId="3084F0C3" w:rsidR="65E0E866" w:rsidRPr="00F86ABE" w:rsidRDefault="65E0E866" w:rsidP="65E0E866">
            <w:pPr>
              <w:spacing w:after="0"/>
              <w:rPr>
                <w:sz w:val="18"/>
                <w:szCs w:val="18"/>
              </w:rPr>
            </w:pPr>
            <w:r w:rsidRPr="00F86ABE">
              <w:rPr>
                <w:rFonts w:ascii="Arial" w:eastAsia="Arial" w:hAnsi="Arial" w:cs="Arial"/>
                <w:b/>
                <w:bCs/>
                <w:sz w:val="18"/>
                <w:szCs w:val="18"/>
              </w:rPr>
              <w:t>EBITDA</w:t>
            </w:r>
            <w:r w:rsidRPr="00F86ABE">
              <w:rPr>
                <w:rFonts w:cs="Calibri"/>
                <w:color w:val="000000" w:themeColor="text1"/>
                <w:sz w:val="18"/>
                <w:szCs w:val="18"/>
              </w:rPr>
              <w:t xml:space="preserve"> </w:t>
            </w:r>
          </w:p>
        </w:tc>
        <w:tc>
          <w:tcPr>
            <w:tcW w:w="2696"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bottom"/>
          </w:tcPr>
          <w:p w14:paraId="2B878531" w14:textId="278583D9" w:rsidR="65E0E866" w:rsidRPr="00F86ABE" w:rsidRDefault="65E0E866" w:rsidP="65E0E866">
            <w:pPr>
              <w:spacing w:after="0"/>
              <w:jc w:val="right"/>
              <w:rPr>
                <w:sz w:val="18"/>
                <w:szCs w:val="18"/>
              </w:rPr>
            </w:pPr>
            <w:r w:rsidRPr="00F86ABE">
              <w:rPr>
                <w:rFonts w:ascii="Arial" w:eastAsia="Arial" w:hAnsi="Arial" w:cs="Arial"/>
                <w:b/>
                <w:bCs/>
                <w:sz w:val="18"/>
                <w:szCs w:val="18"/>
              </w:rPr>
              <w:t>9 721</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bottom"/>
          </w:tcPr>
          <w:p w14:paraId="778F83C4" w14:textId="7502A9DA" w:rsidR="65E0E866" w:rsidRPr="00F86ABE" w:rsidRDefault="65E0E866" w:rsidP="65E0E866">
            <w:pPr>
              <w:spacing w:after="0"/>
              <w:jc w:val="right"/>
              <w:rPr>
                <w:sz w:val="18"/>
                <w:szCs w:val="18"/>
              </w:rPr>
            </w:pPr>
            <w:r w:rsidRPr="00F86ABE">
              <w:rPr>
                <w:rFonts w:ascii="Arial" w:eastAsia="Arial" w:hAnsi="Arial" w:cs="Arial"/>
                <w:b/>
                <w:bCs/>
                <w:sz w:val="18"/>
                <w:szCs w:val="18"/>
              </w:rPr>
              <w:t>7 459</w:t>
            </w:r>
          </w:p>
        </w:tc>
        <w:tc>
          <w:tcPr>
            <w:tcW w:w="195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bottom"/>
          </w:tcPr>
          <w:p w14:paraId="75E0CED1" w14:textId="266802C8" w:rsidR="65E0E866" w:rsidRPr="00F86ABE" w:rsidRDefault="65E0E866" w:rsidP="65E0E866">
            <w:pPr>
              <w:spacing w:after="0"/>
              <w:jc w:val="right"/>
              <w:rPr>
                <w:sz w:val="18"/>
                <w:szCs w:val="18"/>
              </w:rPr>
            </w:pPr>
            <w:r w:rsidRPr="00F86ABE">
              <w:rPr>
                <w:rFonts w:ascii="Arial" w:eastAsia="Arial" w:hAnsi="Arial" w:cs="Arial"/>
                <w:b/>
                <w:bCs/>
                <w:sz w:val="18"/>
                <w:szCs w:val="18"/>
              </w:rPr>
              <w:t>30,3%</w:t>
            </w:r>
          </w:p>
        </w:tc>
      </w:tr>
      <w:tr w:rsidR="65E0E866" w14:paraId="717474C0" w14:textId="77777777" w:rsidTr="00F86ABE">
        <w:trPr>
          <w:trHeight w:val="314"/>
        </w:trPr>
        <w:tc>
          <w:tcPr>
            <w:tcW w:w="3395" w:type="dxa"/>
            <w:tcBorders>
              <w:top w:val="single" w:sz="4" w:space="0" w:color="auto"/>
              <w:left w:val="single" w:sz="4" w:space="0" w:color="000000" w:themeColor="text1"/>
              <w:bottom w:val="nil"/>
              <w:right w:val="single" w:sz="4" w:space="0" w:color="auto"/>
            </w:tcBorders>
            <w:shd w:val="clear" w:color="auto" w:fill="FFFFFF" w:themeFill="background1"/>
            <w:tcMar>
              <w:top w:w="15" w:type="dxa"/>
              <w:left w:w="15" w:type="dxa"/>
              <w:right w:w="15" w:type="dxa"/>
            </w:tcMar>
            <w:vAlign w:val="bottom"/>
          </w:tcPr>
          <w:p w14:paraId="0C543A99" w14:textId="4F934FAA" w:rsidR="65E0E866" w:rsidRPr="00F86ABE" w:rsidRDefault="65E0E866" w:rsidP="65E0E866">
            <w:pPr>
              <w:spacing w:after="0"/>
              <w:rPr>
                <w:sz w:val="18"/>
                <w:szCs w:val="18"/>
              </w:rPr>
            </w:pPr>
            <w:proofErr w:type="spellStart"/>
            <w:r w:rsidRPr="00F86ABE">
              <w:rPr>
                <w:rFonts w:ascii="Arial" w:eastAsia="Arial" w:hAnsi="Arial" w:cs="Arial"/>
                <w:sz w:val="18"/>
                <w:szCs w:val="18"/>
              </w:rPr>
              <w:t>Cost</w:t>
            </w:r>
            <w:proofErr w:type="spellEnd"/>
            <w:r w:rsidRPr="00F86ABE">
              <w:rPr>
                <w:rFonts w:ascii="Arial" w:eastAsia="Arial" w:hAnsi="Arial" w:cs="Arial"/>
                <w:sz w:val="18"/>
                <w:szCs w:val="18"/>
              </w:rPr>
              <w:t xml:space="preserve"> of net indebtedness </w:t>
            </w:r>
          </w:p>
        </w:tc>
        <w:tc>
          <w:tcPr>
            <w:tcW w:w="2696" w:type="dxa"/>
            <w:tcBorders>
              <w:top w:val="single" w:sz="4" w:space="0" w:color="auto"/>
              <w:left w:val="single" w:sz="4" w:space="0" w:color="auto"/>
              <w:bottom w:val="nil"/>
              <w:right w:val="single" w:sz="4" w:space="0" w:color="auto"/>
            </w:tcBorders>
            <w:shd w:val="clear" w:color="auto" w:fill="FFFFFF" w:themeFill="background1"/>
            <w:tcMar>
              <w:top w:w="15" w:type="dxa"/>
              <w:left w:w="15" w:type="dxa"/>
              <w:right w:w="15" w:type="dxa"/>
            </w:tcMar>
            <w:vAlign w:val="bottom"/>
          </w:tcPr>
          <w:p w14:paraId="16ED48F2" w14:textId="28C8140C" w:rsidR="65E0E866" w:rsidRPr="00F86ABE" w:rsidRDefault="65E0E866" w:rsidP="65E0E866">
            <w:pPr>
              <w:spacing w:after="0"/>
              <w:jc w:val="right"/>
              <w:rPr>
                <w:sz w:val="18"/>
                <w:szCs w:val="18"/>
              </w:rPr>
            </w:pPr>
            <w:r w:rsidRPr="00F86ABE">
              <w:rPr>
                <w:rFonts w:ascii="Arial" w:eastAsia="Arial" w:hAnsi="Arial" w:cs="Arial"/>
                <w:sz w:val="18"/>
                <w:szCs w:val="18"/>
              </w:rPr>
              <w:t>-305</w:t>
            </w:r>
          </w:p>
        </w:tc>
        <w:tc>
          <w:tcPr>
            <w:tcW w:w="2268" w:type="dxa"/>
            <w:tcBorders>
              <w:top w:val="single" w:sz="4" w:space="0" w:color="auto"/>
              <w:left w:val="single" w:sz="4" w:space="0" w:color="auto"/>
              <w:bottom w:val="nil"/>
              <w:right w:val="single" w:sz="4" w:space="0" w:color="auto"/>
            </w:tcBorders>
            <w:shd w:val="clear" w:color="auto" w:fill="FFFFFF" w:themeFill="background1"/>
            <w:tcMar>
              <w:top w:w="15" w:type="dxa"/>
              <w:left w:w="15" w:type="dxa"/>
              <w:right w:w="15" w:type="dxa"/>
            </w:tcMar>
            <w:vAlign w:val="bottom"/>
          </w:tcPr>
          <w:p w14:paraId="3638DC66" w14:textId="4E7ED14F" w:rsidR="65E0E866" w:rsidRPr="00F86ABE" w:rsidRDefault="65E0E866" w:rsidP="65E0E866">
            <w:pPr>
              <w:spacing w:after="0"/>
              <w:jc w:val="right"/>
              <w:rPr>
                <w:sz w:val="18"/>
                <w:szCs w:val="18"/>
              </w:rPr>
            </w:pPr>
            <w:r w:rsidRPr="00F86ABE">
              <w:rPr>
                <w:rFonts w:ascii="Arial" w:eastAsia="Arial" w:hAnsi="Arial" w:cs="Arial"/>
                <w:sz w:val="18"/>
                <w:szCs w:val="18"/>
              </w:rPr>
              <w:t>-462</w:t>
            </w:r>
          </w:p>
        </w:tc>
        <w:tc>
          <w:tcPr>
            <w:tcW w:w="1951" w:type="dxa"/>
            <w:tcBorders>
              <w:top w:val="single" w:sz="4" w:space="0" w:color="auto"/>
              <w:left w:val="single" w:sz="4" w:space="0" w:color="auto"/>
              <w:bottom w:val="nil"/>
              <w:right w:val="single" w:sz="4" w:space="0" w:color="auto"/>
            </w:tcBorders>
            <w:shd w:val="clear" w:color="auto" w:fill="FFFFFF" w:themeFill="background1"/>
            <w:tcMar>
              <w:top w:w="15" w:type="dxa"/>
              <w:left w:w="15" w:type="dxa"/>
              <w:right w:w="15" w:type="dxa"/>
            </w:tcMar>
            <w:vAlign w:val="bottom"/>
          </w:tcPr>
          <w:p w14:paraId="689C40E2" w14:textId="6BE25279" w:rsidR="65E0E866" w:rsidRPr="00F86ABE" w:rsidRDefault="65E0E866" w:rsidP="65E0E866">
            <w:pPr>
              <w:spacing w:after="0"/>
              <w:jc w:val="right"/>
              <w:rPr>
                <w:sz w:val="18"/>
                <w:szCs w:val="18"/>
              </w:rPr>
            </w:pPr>
            <w:r w:rsidRPr="00F86ABE">
              <w:rPr>
                <w:rFonts w:ascii="Arial" w:eastAsia="Arial" w:hAnsi="Arial" w:cs="Arial"/>
                <w:b/>
                <w:bCs/>
                <w:color w:val="808080" w:themeColor="background1" w:themeShade="80"/>
                <w:sz w:val="18"/>
                <w:szCs w:val="18"/>
              </w:rPr>
              <w:t>-34,0%</w:t>
            </w:r>
          </w:p>
        </w:tc>
      </w:tr>
      <w:tr w:rsidR="65E0E866" w14:paraId="0A4449F5" w14:textId="77777777" w:rsidTr="00F86ABE">
        <w:trPr>
          <w:trHeight w:val="298"/>
        </w:trPr>
        <w:tc>
          <w:tcPr>
            <w:tcW w:w="3395" w:type="dxa"/>
            <w:tcBorders>
              <w:top w:val="nil"/>
              <w:left w:val="single" w:sz="4" w:space="0" w:color="000000" w:themeColor="text1"/>
              <w:bottom w:val="nil"/>
              <w:right w:val="single" w:sz="4" w:space="0" w:color="auto"/>
            </w:tcBorders>
            <w:shd w:val="clear" w:color="auto" w:fill="FFFFFF" w:themeFill="background1"/>
            <w:tcMar>
              <w:top w:w="15" w:type="dxa"/>
              <w:left w:w="15" w:type="dxa"/>
              <w:right w:w="15" w:type="dxa"/>
            </w:tcMar>
            <w:vAlign w:val="bottom"/>
          </w:tcPr>
          <w:p w14:paraId="5C619B59" w14:textId="001E2BEC" w:rsidR="65E0E866" w:rsidRPr="00F86ABE" w:rsidRDefault="65E0E866" w:rsidP="65E0E866">
            <w:pPr>
              <w:spacing w:after="0"/>
              <w:rPr>
                <w:sz w:val="18"/>
                <w:szCs w:val="18"/>
              </w:rPr>
            </w:pPr>
            <w:r w:rsidRPr="00F86ABE">
              <w:rPr>
                <w:rFonts w:ascii="Arial" w:eastAsia="Arial" w:hAnsi="Arial" w:cs="Arial"/>
                <w:sz w:val="18"/>
                <w:szCs w:val="18"/>
              </w:rPr>
              <w:t xml:space="preserve">Net </w:t>
            </w:r>
            <w:proofErr w:type="spellStart"/>
            <w:r w:rsidRPr="00F86ABE">
              <w:rPr>
                <w:rFonts w:ascii="Arial" w:eastAsia="Arial" w:hAnsi="Arial" w:cs="Arial"/>
                <w:sz w:val="18"/>
                <w:szCs w:val="18"/>
              </w:rPr>
              <w:t>interest</w:t>
            </w:r>
            <w:proofErr w:type="spellEnd"/>
            <w:r w:rsidRPr="00F86ABE">
              <w:rPr>
                <w:rFonts w:ascii="Arial" w:eastAsia="Arial" w:hAnsi="Arial" w:cs="Arial"/>
                <w:sz w:val="18"/>
                <w:szCs w:val="18"/>
              </w:rPr>
              <w:t xml:space="preserve"> on </w:t>
            </w:r>
            <w:proofErr w:type="spellStart"/>
            <w:r w:rsidRPr="00F86ABE">
              <w:rPr>
                <w:rFonts w:ascii="Arial" w:eastAsia="Arial" w:hAnsi="Arial" w:cs="Arial"/>
                <w:sz w:val="18"/>
                <w:szCs w:val="18"/>
              </w:rPr>
              <w:t>leases</w:t>
            </w:r>
            <w:proofErr w:type="spellEnd"/>
            <w:r w:rsidRPr="00F86ABE">
              <w:rPr>
                <w:rFonts w:ascii="Arial" w:eastAsia="Arial" w:hAnsi="Arial" w:cs="Arial"/>
                <w:sz w:val="18"/>
                <w:szCs w:val="18"/>
              </w:rPr>
              <w:t xml:space="preserve"> </w:t>
            </w:r>
          </w:p>
        </w:tc>
        <w:tc>
          <w:tcPr>
            <w:tcW w:w="2696" w:type="dxa"/>
            <w:tcBorders>
              <w:top w:val="nil"/>
              <w:left w:val="single" w:sz="4" w:space="0" w:color="auto"/>
              <w:bottom w:val="nil"/>
              <w:right w:val="single" w:sz="4" w:space="0" w:color="auto"/>
            </w:tcBorders>
            <w:shd w:val="clear" w:color="auto" w:fill="FFFFFF" w:themeFill="background1"/>
            <w:tcMar>
              <w:top w:w="15" w:type="dxa"/>
              <w:left w:w="15" w:type="dxa"/>
              <w:right w:w="15" w:type="dxa"/>
            </w:tcMar>
            <w:vAlign w:val="bottom"/>
          </w:tcPr>
          <w:p w14:paraId="71EF2E18" w14:textId="39978427" w:rsidR="65E0E866" w:rsidRPr="00F86ABE" w:rsidRDefault="65E0E866" w:rsidP="65E0E866">
            <w:pPr>
              <w:spacing w:after="0"/>
              <w:jc w:val="right"/>
              <w:rPr>
                <w:sz w:val="18"/>
                <w:szCs w:val="18"/>
              </w:rPr>
            </w:pPr>
            <w:r w:rsidRPr="00F86ABE">
              <w:rPr>
                <w:rFonts w:ascii="Arial" w:eastAsia="Arial" w:hAnsi="Arial" w:cs="Arial"/>
                <w:sz w:val="18"/>
                <w:szCs w:val="18"/>
              </w:rPr>
              <w:t>-24</w:t>
            </w:r>
          </w:p>
        </w:tc>
        <w:tc>
          <w:tcPr>
            <w:tcW w:w="2268" w:type="dxa"/>
            <w:tcBorders>
              <w:top w:val="nil"/>
              <w:left w:val="single" w:sz="4" w:space="0" w:color="auto"/>
              <w:bottom w:val="nil"/>
              <w:right w:val="single" w:sz="4" w:space="0" w:color="auto"/>
            </w:tcBorders>
            <w:shd w:val="clear" w:color="auto" w:fill="FFFFFF" w:themeFill="background1"/>
            <w:tcMar>
              <w:top w:w="15" w:type="dxa"/>
              <w:left w:w="15" w:type="dxa"/>
              <w:right w:w="15" w:type="dxa"/>
            </w:tcMar>
            <w:vAlign w:val="bottom"/>
          </w:tcPr>
          <w:p w14:paraId="5F70081A" w14:textId="0E821571" w:rsidR="65E0E866" w:rsidRPr="00F86ABE" w:rsidRDefault="65E0E866" w:rsidP="65E0E866">
            <w:pPr>
              <w:spacing w:after="0"/>
              <w:jc w:val="right"/>
              <w:rPr>
                <w:sz w:val="18"/>
                <w:szCs w:val="18"/>
              </w:rPr>
            </w:pPr>
            <w:r w:rsidRPr="00F86ABE">
              <w:rPr>
                <w:rFonts w:ascii="Arial" w:eastAsia="Arial" w:hAnsi="Arial" w:cs="Arial"/>
                <w:sz w:val="18"/>
                <w:szCs w:val="18"/>
              </w:rPr>
              <w:t>-20</w:t>
            </w:r>
          </w:p>
        </w:tc>
        <w:tc>
          <w:tcPr>
            <w:tcW w:w="1951" w:type="dxa"/>
            <w:tcBorders>
              <w:top w:val="nil"/>
              <w:left w:val="single" w:sz="4" w:space="0" w:color="auto"/>
              <w:bottom w:val="nil"/>
              <w:right w:val="single" w:sz="4" w:space="0" w:color="auto"/>
            </w:tcBorders>
            <w:shd w:val="clear" w:color="auto" w:fill="FFFFFF" w:themeFill="background1"/>
            <w:tcMar>
              <w:top w:w="15" w:type="dxa"/>
              <w:left w:w="15" w:type="dxa"/>
              <w:right w:w="15" w:type="dxa"/>
            </w:tcMar>
            <w:vAlign w:val="bottom"/>
          </w:tcPr>
          <w:p w14:paraId="39DBCE8B" w14:textId="7E107CDF" w:rsidR="65E0E866" w:rsidRPr="00F86ABE" w:rsidRDefault="65E0E866" w:rsidP="65E0E866">
            <w:pPr>
              <w:spacing w:after="0"/>
              <w:jc w:val="right"/>
              <w:rPr>
                <w:sz w:val="18"/>
                <w:szCs w:val="18"/>
              </w:rPr>
            </w:pPr>
            <w:r w:rsidRPr="00F86ABE">
              <w:rPr>
                <w:rFonts w:ascii="Arial" w:eastAsia="Arial" w:hAnsi="Arial" w:cs="Arial"/>
                <w:b/>
                <w:bCs/>
                <w:color w:val="808080" w:themeColor="background1" w:themeShade="80"/>
                <w:sz w:val="18"/>
                <w:szCs w:val="18"/>
              </w:rPr>
              <w:t>19,8%</w:t>
            </w:r>
          </w:p>
        </w:tc>
      </w:tr>
      <w:tr w:rsidR="65E0E866" w14:paraId="0CDC84F0" w14:textId="77777777" w:rsidTr="00F86ABE">
        <w:trPr>
          <w:trHeight w:val="298"/>
        </w:trPr>
        <w:tc>
          <w:tcPr>
            <w:tcW w:w="3395" w:type="dxa"/>
            <w:tcBorders>
              <w:top w:val="nil"/>
              <w:left w:val="single" w:sz="4" w:space="0" w:color="000000" w:themeColor="text1"/>
              <w:bottom w:val="nil"/>
              <w:right w:val="single" w:sz="4" w:space="0" w:color="auto"/>
            </w:tcBorders>
            <w:shd w:val="clear" w:color="auto" w:fill="FFFFFF" w:themeFill="background1"/>
            <w:tcMar>
              <w:top w:w="15" w:type="dxa"/>
              <w:left w:w="15" w:type="dxa"/>
              <w:right w:w="15" w:type="dxa"/>
            </w:tcMar>
            <w:vAlign w:val="bottom"/>
          </w:tcPr>
          <w:p w14:paraId="64445728" w14:textId="04540CDF" w:rsidR="65E0E866" w:rsidRPr="00F86ABE" w:rsidRDefault="65E0E866" w:rsidP="65E0E866">
            <w:pPr>
              <w:spacing w:after="0"/>
              <w:rPr>
                <w:sz w:val="18"/>
                <w:szCs w:val="18"/>
                <w:lang w:val="en-US"/>
              </w:rPr>
            </w:pPr>
            <w:r w:rsidRPr="00F86ABE">
              <w:rPr>
                <w:rFonts w:ascii="Arial" w:eastAsia="Arial" w:hAnsi="Arial" w:cs="Arial"/>
                <w:sz w:val="18"/>
                <w:szCs w:val="18"/>
                <w:lang w:val="en-US"/>
              </w:rPr>
              <w:t xml:space="preserve">Other financial income and expense </w:t>
            </w:r>
          </w:p>
        </w:tc>
        <w:tc>
          <w:tcPr>
            <w:tcW w:w="2696" w:type="dxa"/>
            <w:tcBorders>
              <w:top w:val="nil"/>
              <w:left w:val="single" w:sz="4" w:space="0" w:color="auto"/>
              <w:bottom w:val="nil"/>
              <w:right w:val="single" w:sz="4" w:space="0" w:color="auto"/>
            </w:tcBorders>
            <w:shd w:val="clear" w:color="auto" w:fill="FFFFFF" w:themeFill="background1"/>
            <w:tcMar>
              <w:top w:w="15" w:type="dxa"/>
              <w:left w:w="15" w:type="dxa"/>
              <w:right w:w="15" w:type="dxa"/>
            </w:tcMar>
            <w:vAlign w:val="bottom"/>
          </w:tcPr>
          <w:p w14:paraId="518F44E8" w14:textId="4985F8D5" w:rsidR="65E0E866" w:rsidRPr="00F86ABE" w:rsidRDefault="65E0E866" w:rsidP="65E0E866">
            <w:pPr>
              <w:spacing w:after="0"/>
              <w:jc w:val="right"/>
              <w:rPr>
                <w:sz w:val="18"/>
                <w:szCs w:val="18"/>
              </w:rPr>
            </w:pPr>
            <w:r w:rsidRPr="00F86ABE">
              <w:rPr>
                <w:rFonts w:ascii="Arial" w:eastAsia="Arial" w:hAnsi="Arial" w:cs="Arial"/>
                <w:sz w:val="18"/>
                <w:szCs w:val="18"/>
              </w:rPr>
              <w:t>562</w:t>
            </w:r>
          </w:p>
        </w:tc>
        <w:tc>
          <w:tcPr>
            <w:tcW w:w="2268" w:type="dxa"/>
            <w:tcBorders>
              <w:top w:val="nil"/>
              <w:left w:val="single" w:sz="4" w:space="0" w:color="auto"/>
              <w:bottom w:val="nil"/>
              <w:right w:val="single" w:sz="4" w:space="0" w:color="auto"/>
            </w:tcBorders>
            <w:shd w:val="clear" w:color="auto" w:fill="FFFFFF" w:themeFill="background1"/>
            <w:tcMar>
              <w:top w:w="15" w:type="dxa"/>
              <w:left w:w="15" w:type="dxa"/>
              <w:right w:w="15" w:type="dxa"/>
            </w:tcMar>
            <w:vAlign w:val="bottom"/>
          </w:tcPr>
          <w:p w14:paraId="4B6C686D" w14:textId="0AC73413" w:rsidR="65E0E866" w:rsidRPr="00F86ABE" w:rsidRDefault="65E0E866" w:rsidP="65E0E866">
            <w:pPr>
              <w:spacing w:after="0"/>
              <w:jc w:val="right"/>
              <w:rPr>
                <w:sz w:val="18"/>
                <w:szCs w:val="18"/>
              </w:rPr>
            </w:pPr>
            <w:r w:rsidRPr="00F86ABE">
              <w:rPr>
                <w:rFonts w:ascii="Arial" w:eastAsia="Arial" w:hAnsi="Arial" w:cs="Arial"/>
                <w:sz w:val="18"/>
                <w:szCs w:val="18"/>
              </w:rPr>
              <w:t>296</w:t>
            </w:r>
          </w:p>
        </w:tc>
        <w:tc>
          <w:tcPr>
            <w:tcW w:w="1951" w:type="dxa"/>
            <w:tcBorders>
              <w:top w:val="nil"/>
              <w:left w:val="single" w:sz="4" w:space="0" w:color="auto"/>
              <w:bottom w:val="nil"/>
              <w:right w:val="single" w:sz="4" w:space="0" w:color="auto"/>
            </w:tcBorders>
            <w:shd w:val="clear" w:color="auto" w:fill="FFFFFF" w:themeFill="background1"/>
            <w:tcMar>
              <w:top w:w="15" w:type="dxa"/>
              <w:left w:w="15" w:type="dxa"/>
              <w:right w:w="15" w:type="dxa"/>
            </w:tcMar>
            <w:vAlign w:val="bottom"/>
          </w:tcPr>
          <w:p w14:paraId="6108D801" w14:textId="465CD5C6" w:rsidR="65E0E866" w:rsidRPr="00F86ABE" w:rsidRDefault="65E0E866" w:rsidP="65E0E866">
            <w:pPr>
              <w:spacing w:after="0"/>
              <w:jc w:val="right"/>
              <w:rPr>
                <w:sz w:val="18"/>
                <w:szCs w:val="18"/>
              </w:rPr>
            </w:pPr>
            <w:r w:rsidRPr="00F86ABE">
              <w:rPr>
                <w:rFonts w:ascii="Arial" w:eastAsia="Arial" w:hAnsi="Arial" w:cs="Arial"/>
                <w:b/>
                <w:bCs/>
                <w:color w:val="808080" w:themeColor="background1" w:themeShade="80"/>
                <w:sz w:val="18"/>
                <w:szCs w:val="18"/>
              </w:rPr>
              <w:t>90,0%</w:t>
            </w:r>
          </w:p>
        </w:tc>
      </w:tr>
      <w:tr w:rsidR="65E0E866" w14:paraId="15211F28" w14:textId="77777777" w:rsidTr="00F86ABE">
        <w:trPr>
          <w:trHeight w:val="314"/>
        </w:trPr>
        <w:tc>
          <w:tcPr>
            <w:tcW w:w="3395" w:type="dxa"/>
            <w:tcBorders>
              <w:top w:val="single" w:sz="4" w:space="0" w:color="auto"/>
              <w:left w:val="single" w:sz="4" w:space="0" w:color="000000" w:themeColor="text1"/>
              <w:bottom w:val="single" w:sz="4" w:space="0" w:color="auto"/>
              <w:right w:val="single" w:sz="4" w:space="0" w:color="auto"/>
            </w:tcBorders>
            <w:shd w:val="clear" w:color="auto" w:fill="FFFFFF" w:themeFill="background1"/>
            <w:tcMar>
              <w:top w:w="15" w:type="dxa"/>
              <w:left w:w="15" w:type="dxa"/>
              <w:right w:w="15" w:type="dxa"/>
            </w:tcMar>
            <w:vAlign w:val="bottom"/>
          </w:tcPr>
          <w:p w14:paraId="738EA7DB" w14:textId="65B3D951" w:rsidR="65E0E866" w:rsidRPr="00F86ABE" w:rsidRDefault="65E0E866" w:rsidP="65E0E866">
            <w:pPr>
              <w:spacing w:after="0"/>
              <w:rPr>
                <w:sz w:val="18"/>
                <w:szCs w:val="18"/>
              </w:rPr>
            </w:pPr>
            <w:r w:rsidRPr="00F86ABE">
              <w:rPr>
                <w:rFonts w:ascii="Arial" w:eastAsia="Arial" w:hAnsi="Arial" w:cs="Arial"/>
                <w:b/>
                <w:bCs/>
                <w:sz w:val="18"/>
                <w:szCs w:val="18"/>
              </w:rPr>
              <w:t>Net financial income</w:t>
            </w:r>
            <w:r w:rsidRPr="00F86ABE">
              <w:rPr>
                <w:rFonts w:cs="Calibri"/>
                <w:color w:val="000000" w:themeColor="text1"/>
                <w:sz w:val="18"/>
                <w:szCs w:val="18"/>
              </w:rPr>
              <w:t xml:space="preserve"> </w:t>
            </w:r>
          </w:p>
        </w:tc>
        <w:tc>
          <w:tcPr>
            <w:tcW w:w="2696"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bottom"/>
          </w:tcPr>
          <w:p w14:paraId="3BA4CA9C" w14:textId="4B1C9940" w:rsidR="65E0E866" w:rsidRPr="00F86ABE" w:rsidRDefault="65E0E866" w:rsidP="65E0E866">
            <w:pPr>
              <w:spacing w:after="0"/>
              <w:jc w:val="right"/>
              <w:rPr>
                <w:sz w:val="18"/>
                <w:szCs w:val="18"/>
              </w:rPr>
            </w:pPr>
            <w:r w:rsidRPr="00F86ABE">
              <w:rPr>
                <w:rFonts w:ascii="Arial" w:eastAsia="Arial" w:hAnsi="Arial" w:cs="Arial"/>
                <w:b/>
                <w:bCs/>
                <w:sz w:val="18"/>
                <w:szCs w:val="18"/>
              </w:rPr>
              <w:t>233</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bottom"/>
          </w:tcPr>
          <w:p w14:paraId="292BF2D2" w14:textId="6C5E7338" w:rsidR="65E0E866" w:rsidRPr="00F86ABE" w:rsidRDefault="65E0E866" w:rsidP="65E0E866">
            <w:pPr>
              <w:spacing w:after="0"/>
              <w:jc w:val="right"/>
              <w:rPr>
                <w:sz w:val="18"/>
                <w:szCs w:val="18"/>
              </w:rPr>
            </w:pPr>
            <w:r w:rsidRPr="00F86ABE">
              <w:rPr>
                <w:rFonts w:ascii="Arial" w:eastAsia="Arial" w:hAnsi="Arial" w:cs="Arial"/>
                <w:b/>
                <w:bCs/>
                <w:sz w:val="18"/>
                <w:szCs w:val="18"/>
              </w:rPr>
              <w:t>-186</w:t>
            </w:r>
          </w:p>
        </w:tc>
        <w:tc>
          <w:tcPr>
            <w:tcW w:w="195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bottom"/>
          </w:tcPr>
          <w:p w14:paraId="7A63670D" w14:textId="3E7CFA8B" w:rsidR="65E0E866" w:rsidRPr="00F86ABE" w:rsidRDefault="65E0E866" w:rsidP="65E0E866">
            <w:pPr>
              <w:spacing w:after="0"/>
              <w:jc w:val="right"/>
              <w:rPr>
                <w:sz w:val="18"/>
                <w:szCs w:val="18"/>
              </w:rPr>
            </w:pPr>
            <w:r w:rsidRPr="00F86ABE">
              <w:rPr>
                <w:rFonts w:ascii="Arial" w:eastAsia="Arial" w:hAnsi="Arial" w:cs="Arial"/>
                <w:b/>
                <w:bCs/>
                <w:sz w:val="18"/>
                <w:szCs w:val="18"/>
              </w:rPr>
              <w:t>-224,8%</w:t>
            </w:r>
          </w:p>
        </w:tc>
      </w:tr>
      <w:tr w:rsidR="65E0E866" w14:paraId="0E7BAD2F" w14:textId="77777777" w:rsidTr="00F86ABE">
        <w:trPr>
          <w:trHeight w:val="314"/>
        </w:trPr>
        <w:tc>
          <w:tcPr>
            <w:tcW w:w="3395" w:type="dxa"/>
            <w:tcBorders>
              <w:top w:val="single" w:sz="4" w:space="0" w:color="auto"/>
              <w:left w:val="single" w:sz="4" w:space="0" w:color="000000" w:themeColor="text1"/>
              <w:bottom w:val="single" w:sz="4" w:space="0" w:color="auto"/>
              <w:right w:val="single" w:sz="4" w:space="0" w:color="auto"/>
            </w:tcBorders>
            <w:shd w:val="clear" w:color="auto" w:fill="FFFFFF" w:themeFill="background1"/>
            <w:tcMar>
              <w:top w:w="15" w:type="dxa"/>
              <w:left w:w="15" w:type="dxa"/>
              <w:right w:w="15" w:type="dxa"/>
            </w:tcMar>
            <w:vAlign w:val="bottom"/>
          </w:tcPr>
          <w:p w14:paraId="4B862DEF" w14:textId="2AA29AAB" w:rsidR="65E0E866" w:rsidRPr="00F86ABE" w:rsidRDefault="65E0E866" w:rsidP="65E0E866">
            <w:pPr>
              <w:spacing w:after="0"/>
              <w:rPr>
                <w:sz w:val="18"/>
                <w:szCs w:val="18"/>
              </w:rPr>
            </w:pPr>
            <w:r w:rsidRPr="00F86ABE">
              <w:rPr>
                <w:rFonts w:ascii="Arial" w:eastAsia="Arial" w:hAnsi="Arial" w:cs="Arial"/>
                <w:b/>
                <w:bCs/>
                <w:sz w:val="18"/>
                <w:szCs w:val="18"/>
              </w:rPr>
              <w:t xml:space="preserve">Profit </w:t>
            </w:r>
            <w:proofErr w:type="spellStart"/>
            <w:r w:rsidRPr="00F86ABE">
              <w:rPr>
                <w:rFonts w:ascii="Arial" w:eastAsia="Arial" w:hAnsi="Arial" w:cs="Arial"/>
                <w:b/>
                <w:bCs/>
                <w:sz w:val="18"/>
                <w:szCs w:val="18"/>
              </w:rPr>
              <w:t>before</w:t>
            </w:r>
            <w:proofErr w:type="spellEnd"/>
            <w:r w:rsidRPr="00F86ABE">
              <w:rPr>
                <w:rFonts w:ascii="Arial" w:eastAsia="Arial" w:hAnsi="Arial" w:cs="Arial"/>
                <w:b/>
                <w:bCs/>
                <w:sz w:val="18"/>
                <w:szCs w:val="18"/>
              </w:rPr>
              <w:t xml:space="preserve"> tax</w:t>
            </w:r>
            <w:r w:rsidRPr="00F86ABE">
              <w:rPr>
                <w:rFonts w:cs="Calibri"/>
                <w:color w:val="000000" w:themeColor="text1"/>
                <w:sz w:val="18"/>
                <w:szCs w:val="18"/>
              </w:rPr>
              <w:t xml:space="preserve"> </w:t>
            </w:r>
          </w:p>
        </w:tc>
        <w:tc>
          <w:tcPr>
            <w:tcW w:w="2696"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bottom"/>
          </w:tcPr>
          <w:p w14:paraId="41B341D6" w14:textId="1F167D79" w:rsidR="65E0E866" w:rsidRPr="00F86ABE" w:rsidRDefault="65E0E866" w:rsidP="65E0E866">
            <w:pPr>
              <w:spacing w:after="0"/>
              <w:jc w:val="right"/>
              <w:rPr>
                <w:sz w:val="18"/>
                <w:szCs w:val="18"/>
              </w:rPr>
            </w:pPr>
            <w:r w:rsidRPr="00F86ABE">
              <w:rPr>
                <w:rFonts w:ascii="Arial" w:eastAsia="Arial" w:hAnsi="Arial" w:cs="Arial"/>
                <w:b/>
                <w:bCs/>
                <w:sz w:val="18"/>
                <w:szCs w:val="18"/>
              </w:rPr>
              <w:t>8 331</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bottom"/>
          </w:tcPr>
          <w:p w14:paraId="7FFB556C" w14:textId="11D8A8A1" w:rsidR="65E0E866" w:rsidRPr="00F86ABE" w:rsidRDefault="65E0E866" w:rsidP="65E0E866">
            <w:pPr>
              <w:spacing w:after="0"/>
              <w:jc w:val="right"/>
              <w:rPr>
                <w:sz w:val="18"/>
                <w:szCs w:val="18"/>
              </w:rPr>
            </w:pPr>
            <w:r w:rsidRPr="00F86ABE">
              <w:rPr>
                <w:rFonts w:ascii="Arial" w:eastAsia="Arial" w:hAnsi="Arial" w:cs="Arial"/>
                <w:b/>
                <w:bCs/>
                <w:sz w:val="18"/>
                <w:szCs w:val="18"/>
              </w:rPr>
              <w:t>5 765</w:t>
            </w:r>
          </w:p>
        </w:tc>
        <w:tc>
          <w:tcPr>
            <w:tcW w:w="195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bottom"/>
          </w:tcPr>
          <w:p w14:paraId="10B3F1FA" w14:textId="36DD46D1" w:rsidR="65E0E866" w:rsidRPr="00F86ABE" w:rsidRDefault="65E0E866" w:rsidP="65E0E866">
            <w:pPr>
              <w:spacing w:after="0"/>
              <w:jc w:val="right"/>
              <w:rPr>
                <w:sz w:val="18"/>
                <w:szCs w:val="18"/>
              </w:rPr>
            </w:pPr>
            <w:r w:rsidRPr="00F86ABE">
              <w:rPr>
                <w:rFonts w:ascii="Arial" w:eastAsia="Arial" w:hAnsi="Arial" w:cs="Arial"/>
                <w:b/>
                <w:bCs/>
                <w:sz w:val="18"/>
                <w:szCs w:val="18"/>
              </w:rPr>
              <w:t>44,5%</w:t>
            </w:r>
          </w:p>
        </w:tc>
      </w:tr>
      <w:tr w:rsidR="65E0E866" w14:paraId="7ADEA8C3" w14:textId="77777777" w:rsidTr="00F86ABE">
        <w:trPr>
          <w:trHeight w:val="298"/>
        </w:trPr>
        <w:tc>
          <w:tcPr>
            <w:tcW w:w="3395" w:type="dxa"/>
            <w:tcBorders>
              <w:top w:val="single" w:sz="4" w:space="0" w:color="auto"/>
              <w:left w:val="single" w:sz="4" w:space="0" w:color="000000" w:themeColor="text1"/>
              <w:bottom w:val="nil"/>
              <w:right w:val="single" w:sz="4" w:space="0" w:color="auto"/>
            </w:tcBorders>
            <w:shd w:val="clear" w:color="auto" w:fill="FFFFFF" w:themeFill="background1"/>
            <w:tcMar>
              <w:top w:w="15" w:type="dxa"/>
              <w:left w:w="15" w:type="dxa"/>
              <w:right w:w="15" w:type="dxa"/>
            </w:tcMar>
            <w:vAlign w:val="bottom"/>
          </w:tcPr>
          <w:p w14:paraId="161016A7" w14:textId="1BC7E31E" w:rsidR="65E0E866" w:rsidRPr="00F86ABE" w:rsidRDefault="65E0E866" w:rsidP="65E0E866">
            <w:pPr>
              <w:spacing w:after="0"/>
              <w:rPr>
                <w:sz w:val="18"/>
                <w:szCs w:val="18"/>
              </w:rPr>
            </w:pPr>
            <w:r w:rsidRPr="00F86ABE">
              <w:rPr>
                <w:rFonts w:ascii="Arial" w:eastAsia="Arial" w:hAnsi="Arial" w:cs="Arial"/>
                <w:sz w:val="18"/>
                <w:szCs w:val="18"/>
              </w:rPr>
              <w:t xml:space="preserve">Income tax </w:t>
            </w:r>
          </w:p>
        </w:tc>
        <w:tc>
          <w:tcPr>
            <w:tcW w:w="2696" w:type="dxa"/>
            <w:tcBorders>
              <w:top w:val="single" w:sz="4" w:space="0" w:color="auto"/>
              <w:left w:val="single" w:sz="4" w:space="0" w:color="auto"/>
              <w:bottom w:val="nil"/>
              <w:right w:val="single" w:sz="4" w:space="0" w:color="auto"/>
            </w:tcBorders>
            <w:shd w:val="clear" w:color="auto" w:fill="FFFFFF" w:themeFill="background1"/>
            <w:tcMar>
              <w:top w:w="15" w:type="dxa"/>
              <w:left w:w="15" w:type="dxa"/>
              <w:right w:w="15" w:type="dxa"/>
            </w:tcMar>
            <w:vAlign w:val="bottom"/>
          </w:tcPr>
          <w:p w14:paraId="013A15DE" w14:textId="13AC32D3" w:rsidR="65E0E866" w:rsidRPr="00F86ABE" w:rsidRDefault="65E0E866" w:rsidP="65E0E866">
            <w:pPr>
              <w:spacing w:after="0"/>
              <w:jc w:val="right"/>
              <w:rPr>
                <w:sz w:val="18"/>
                <w:szCs w:val="18"/>
              </w:rPr>
            </w:pPr>
            <w:r w:rsidRPr="00F86ABE">
              <w:rPr>
                <w:rFonts w:ascii="Arial" w:eastAsia="Arial" w:hAnsi="Arial" w:cs="Arial"/>
                <w:sz w:val="18"/>
                <w:szCs w:val="18"/>
              </w:rPr>
              <w:t>-959</w:t>
            </w:r>
          </w:p>
        </w:tc>
        <w:tc>
          <w:tcPr>
            <w:tcW w:w="2268" w:type="dxa"/>
            <w:tcBorders>
              <w:top w:val="single" w:sz="4" w:space="0" w:color="auto"/>
              <w:left w:val="single" w:sz="4" w:space="0" w:color="auto"/>
              <w:bottom w:val="nil"/>
              <w:right w:val="single" w:sz="4" w:space="0" w:color="auto"/>
            </w:tcBorders>
            <w:shd w:val="clear" w:color="auto" w:fill="FFFFFF" w:themeFill="background1"/>
            <w:tcMar>
              <w:top w:w="15" w:type="dxa"/>
              <w:left w:w="15" w:type="dxa"/>
              <w:right w:w="15" w:type="dxa"/>
            </w:tcMar>
            <w:vAlign w:val="bottom"/>
          </w:tcPr>
          <w:p w14:paraId="3D377B10" w14:textId="061A227B" w:rsidR="65E0E866" w:rsidRPr="00F86ABE" w:rsidRDefault="65E0E866" w:rsidP="65E0E866">
            <w:pPr>
              <w:spacing w:after="0"/>
              <w:jc w:val="right"/>
              <w:rPr>
                <w:sz w:val="18"/>
                <w:szCs w:val="18"/>
              </w:rPr>
            </w:pPr>
            <w:r w:rsidRPr="00F86ABE">
              <w:rPr>
                <w:rFonts w:ascii="Arial" w:eastAsia="Arial" w:hAnsi="Arial" w:cs="Arial"/>
                <w:sz w:val="18"/>
                <w:szCs w:val="18"/>
              </w:rPr>
              <w:t>-773</w:t>
            </w:r>
          </w:p>
        </w:tc>
        <w:tc>
          <w:tcPr>
            <w:tcW w:w="1951" w:type="dxa"/>
            <w:tcBorders>
              <w:top w:val="single" w:sz="4" w:space="0" w:color="auto"/>
              <w:left w:val="single" w:sz="4" w:space="0" w:color="auto"/>
              <w:bottom w:val="nil"/>
              <w:right w:val="single" w:sz="4" w:space="0" w:color="auto"/>
            </w:tcBorders>
            <w:shd w:val="clear" w:color="auto" w:fill="FFFFFF" w:themeFill="background1"/>
            <w:tcMar>
              <w:top w:w="15" w:type="dxa"/>
              <w:left w:w="15" w:type="dxa"/>
              <w:right w:w="15" w:type="dxa"/>
            </w:tcMar>
            <w:vAlign w:val="bottom"/>
          </w:tcPr>
          <w:p w14:paraId="644C5376" w14:textId="058871FC" w:rsidR="65E0E866" w:rsidRPr="00F86ABE" w:rsidRDefault="65E0E866" w:rsidP="65E0E866">
            <w:pPr>
              <w:spacing w:after="0"/>
              <w:jc w:val="right"/>
              <w:rPr>
                <w:sz w:val="18"/>
                <w:szCs w:val="18"/>
              </w:rPr>
            </w:pPr>
            <w:r w:rsidRPr="00F86ABE">
              <w:rPr>
                <w:rFonts w:ascii="Arial" w:eastAsia="Arial" w:hAnsi="Arial" w:cs="Arial"/>
                <w:b/>
                <w:bCs/>
                <w:color w:val="808080" w:themeColor="background1" w:themeShade="80"/>
                <w:sz w:val="18"/>
                <w:szCs w:val="18"/>
              </w:rPr>
              <w:t>24,1%</w:t>
            </w:r>
          </w:p>
        </w:tc>
      </w:tr>
      <w:tr w:rsidR="65E0E866" w14:paraId="11CE4FCB" w14:textId="77777777" w:rsidTr="00F86ABE">
        <w:trPr>
          <w:trHeight w:val="314"/>
        </w:trPr>
        <w:tc>
          <w:tcPr>
            <w:tcW w:w="3395" w:type="dxa"/>
            <w:tcBorders>
              <w:top w:val="single" w:sz="4" w:space="0" w:color="auto"/>
              <w:left w:val="single" w:sz="4" w:space="0" w:color="000000" w:themeColor="text1"/>
              <w:bottom w:val="single" w:sz="4" w:space="0" w:color="auto"/>
              <w:right w:val="single" w:sz="4" w:space="0" w:color="auto"/>
            </w:tcBorders>
            <w:shd w:val="clear" w:color="auto" w:fill="FFFFFF" w:themeFill="background1"/>
            <w:tcMar>
              <w:top w:w="15" w:type="dxa"/>
              <w:left w:w="15" w:type="dxa"/>
              <w:right w:w="15" w:type="dxa"/>
            </w:tcMar>
            <w:vAlign w:val="bottom"/>
          </w:tcPr>
          <w:p w14:paraId="2596867C" w14:textId="3258834F" w:rsidR="65E0E866" w:rsidRPr="00F86ABE" w:rsidRDefault="65E0E866" w:rsidP="65E0E866">
            <w:pPr>
              <w:spacing w:after="0"/>
              <w:rPr>
                <w:sz w:val="18"/>
                <w:szCs w:val="18"/>
              </w:rPr>
            </w:pPr>
            <w:r w:rsidRPr="00F86ABE">
              <w:rPr>
                <w:rFonts w:ascii="Arial" w:eastAsia="Arial" w:hAnsi="Arial" w:cs="Arial"/>
                <w:b/>
                <w:bCs/>
                <w:sz w:val="18"/>
                <w:szCs w:val="18"/>
              </w:rPr>
              <w:lastRenderedPageBreak/>
              <w:t>Net Income</w:t>
            </w:r>
            <w:r w:rsidRPr="00F86ABE">
              <w:rPr>
                <w:rFonts w:cs="Calibri"/>
                <w:color w:val="000000" w:themeColor="text1"/>
                <w:sz w:val="18"/>
                <w:szCs w:val="18"/>
              </w:rPr>
              <w:t xml:space="preserve"> </w:t>
            </w:r>
          </w:p>
        </w:tc>
        <w:tc>
          <w:tcPr>
            <w:tcW w:w="2696"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bottom"/>
          </w:tcPr>
          <w:p w14:paraId="7639C794" w14:textId="21FC331E" w:rsidR="65E0E866" w:rsidRPr="00F86ABE" w:rsidRDefault="65E0E866" w:rsidP="65E0E866">
            <w:pPr>
              <w:spacing w:after="0"/>
              <w:jc w:val="right"/>
              <w:rPr>
                <w:sz w:val="18"/>
                <w:szCs w:val="18"/>
              </w:rPr>
            </w:pPr>
            <w:r w:rsidRPr="00F86ABE">
              <w:rPr>
                <w:rFonts w:ascii="Arial" w:eastAsia="Arial" w:hAnsi="Arial" w:cs="Arial"/>
                <w:b/>
                <w:bCs/>
                <w:sz w:val="18"/>
                <w:szCs w:val="18"/>
              </w:rPr>
              <w:t>7 372</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bottom"/>
          </w:tcPr>
          <w:p w14:paraId="7BD0AA0C" w14:textId="38D49E13" w:rsidR="65E0E866" w:rsidRPr="00F86ABE" w:rsidRDefault="65E0E866" w:rsidP="65E0E866">
            <w:pPr>
              <w:spacing w:after="0"/>
              <w:jc w:val="right"/>
              <w:rPr>
                <w:sz w:val="18"/>
                <w:szCs w:val="18"/>
              </w:rPr>
            </w:pPr>
            <w:r w:rsidRPr="00F86ABE">
              <w:rPr>
                <w:rFonts w:ascii="Arial" w:eastAsia="Arial" w:hAnsi="Arial" w:cs="Arial"/>
                <w:b/>
                <w:bCs/>
                <w:sz w:val="18"/>
                <w:szCs w:val="18"/>
              </w:rPr>
              <w:t>4 992</w:t>
            </w:r>
          </w:p>
        </w:tc>
        <w:tc>
          <w:tcPr>
            <w:tcW w:w="1951"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bottom"/>
          </w:tcPr>
          <w:p w14:paraId="71DC5D5D" w14:textId="1F88FCA8" w:rsidR="65E0E866" w:rsidRPr="00F86ABE" w:rsidRDefault="65E0E866" w:rsidP="65E0E866">
            <w:pPr>
              <w:spacing w:after="0"/>
              <w:jc w:val="right"/>
              <w:rPr>
                <w:sz w:val="18"/>
                <w:szCs w:val="18"/>
              </w:rPr>
            </w:pPr>
            <w:r w:rsidRPr="00F86ABE">
              <w:rPr>
                <w:rFonts w:ascii="Arial" w:eastAsia="Arial" w:hAnsi="Arial" w:cs="Arial"/>
                <w:b/>
                <w:bCs/>
                <w:sz w:val="18"/>
                <w:szCs w:val="18"/>
              </w:rPr>
              <w:t>47,7%</w:t>
            </w:r>
          </w:p>
        </w:tc>
      </w:tr>
    </w:tbl>
    <w:p w14:paraId="62D2BB27" w14:textId="67519126" w:rsidR="0369AF28" w:rsidRDefault="0369AF28" w:rsidP="65E0E866">
      <w:pPr>
        <w:spacing w:line="240" w:lineRule="atLeast"/>
        <w:jc w:val="both"/>
      </w:pPr>
    </w:p>
    <w:p w14:paraId="5434D19F" w14:textId="15B61945" w:rsidR="470C63B9" w:rsidRDefault="470C63B9" w:rsidP="470C63B9">
      <w:pPr>
        <w:spacing w:line="240" w:lineRule="atLeast"/>
        <w:rPr>
          <w:rFonts w:asciiTheme="minorHAnsi" w:hAnsiTheme="minorHAnsi" w:cstheme="minorBidi"/>
          <w:b/>
          <w:bCs/>
          <w:color w:val="0254A5"/>
          <w:u w:val="single"/>
          <w:lang w:val="en-US"/>
        </w:rPr>
      </w:pPr>
    </w:p>
    <w:p w14:paraId="60916508" w14:textId="019BCD84" w:rsidR="470C63B9" w:rsidRDefault="470C63B9" w:rsidP="470C63B9">
      <w:pPr>
        <w:spacing w:line="240" w:lineRule="atLeast"/>
        <w:rPr>
          <w:rFonts w:asciiTheme="minorHAnsi" w:hAnsiTheme="minorHAnsi" w:cstheme="minorBidi"/>
          <w:b/>
          <w:bCs/>
          <w:color w:val="0254A5"/>
          <w:u w:val="single"/>
          <w:lang w:val="en-US"/>
        </w:rPr>
      </w:pPr>
    </w:p>
    <w:p w14:paraId="7BFA157A" w14:textId="24EC18B8" w:rsidR="470C63B9" w:rsidRDefault="470C63B9" w:rsidP="470C63B9">
      <w:pPr>
        <w:spacing w:line="240" w:lineRule="atLeast"/>
        <w:rPr>
          <w:rFonts w:asciiTheme="minorHAnsi" w:hAnsiTheme="minorHAnsi" w:cstheme="minorBidi"/>
          <w:b/>
          <w:bCs/>
          <w:color w:val="0254A5"/>
          <w:u w:val="single"/>
          <w:lang w:val="en-US"/>
        </w:rPr>
      </w:pPr>
    </w:p>
    <w:p w14:paraId="6274B78D" w14:textId="77777777" w:rsidR="00B837CB" w:rsidRPr="00CD1C84" w:rsidRDefault="00997C98">
      <w:pPr>
        <w:autoSpaceDE w:val="0"/>
        <w:autoSpaceDN w:val="0"/>
        <w:adjustRightInd w:val="0"/>
        <w:spacing w:line="240" w:lineRule="atLeast"/>
        <w:rPr>
          <w:rFonts w:asciiTheme="minorHAnsi" w:hAnsiTheme="minorHAnsi" w:cstheme="minorBidi"/>
          <w:b/>
          <w:bCs/>
          <w:color w:val="0254A5"/>
          <w:u w:val="single"/>
          <w:lang w:val="en-US"/>
        </w:rPr>
      </w:pPr>
      <w:r w:rsidRPr="00CD1C84">
        <w:rPr>
          <w:rFonts w:asciiTheme="minorHAnsi" w:hAnsiTheme="minorHAnsi" w:cstheme="minorBidi"/>
          <w:b/>
          <w:bCs/>
          <w:color w:val="0254A5"/>
          <w:u w:val="single"/>
          <w:lang w:val="en-US"/>
        </w:rPr>
        <w:t xml:space="preserve">Sales and </w:t>
      </w:r>
      <w:proofErr w:type="gramStart"/>
      <w:r w:rsidRPr="00CD1C84">
        <w:rPr>
          <w:rFonts w:asciiTheme="minorHAnsi" w:hAnsiTheme="minorHAnsi" w:cstheme="minorBidi"/>
          <w:b/>
          <w:bCs/>
          <w:color w:val="0254A5"/>
          <w:u w:val="single"/>
          <w:lang w:val="en-US"/>
        </w:rPr>
        <w:t>margin :</w:t>
      </w:r>
      <w:proofErr w:type="gramEnd"/>
    </w:p>
    <w:p w14:paraId="32B275EA" w14:textId="77777777" w:rsidR="0049382B" w:rsidRPr="00CD1C84" w:rsidRDefault="0049382B" w:rsidP="0C1039A8">
      <w:pPr>
        <w:autoSpaceDE w:val="0"/>
        <w:autoSpaceDN w:val="0"/>
        <w:adjustRightInd w:val="0"/>
        <w:spacing w:line="240" w:lineRule="atLeast"/>
        <w:rPr>
          <w:rFonts w:asciiTheme="minorHAnsi" w:hAnsiTheme="minorHAnsi" w:cstheme="minorBidi"/>
          <w:b/>
          <w:bCs/>
          <w:color w:val="0254A5"/>
          <w:u w:val="single"/>
          <w:lang w:val="en-US"/>
        </w:rPr>
      </w:pPr>
    </w:p>
    <w:p w14:paraId="487F7F9B" w14:textId="284A5C68" w:rsidR="5038E681" w:rsidRDefault="5038E681" w:rsidP="0369AF28">
      <w:pPr>
        <w:spacing w:line="240" w:lineRule="atLeast"/>
        <w:jc w:val="both"/>
        <w:rPr>
          <w:rFonts w:cs="Calibri"/>
          <w:color w:val="000000" w:themeColor="text1"/>
          <w:sz w:val="24"/>
          <w:szCs w:val="24"/>
          <w:lang w:val="en-US"/>
        </w:rPr>
      </w:pPr>
      <w:r w:rsidRPr="0369AF28">
        <w:rPr>
          <w:rFonts w:asciiTheme="minorHAnsi" w:hAnsiTheme="minorHAnsi" w:cstheme="minorBidi"/>
          <w:sz w:val="24"/>
          <w:szCs w:val="24"/>
          <w:lang w:val="en-US"/>
        </w:rPr>
        <w:t xml:space="preserve">The 2024-25 fiscal year was particularly satisfying for the Lexibook Group. The strategic choices have proven successful and have enabled the continuation of a positive dynamic of profitable growth. The Group has thus achieved 6 consecutive years of growth from 2019 to 2025. Business activity remained strong thanks to high-potential new products, key licenses in the portfolio, and the explosion of digital sales in France and internationally. More specifically, the Group benefited from a real “Stitch effect,” which represents €17M in revenue for the fiscal year. Overall, for the year, revenue closed at a historic level </w:t>
      </w:r>
      <w:proofErr w:type="gramStart"/>
      <w:r w:rsidRPr="0369AF28">
        <w:rPr>
          <w:rFonts w:asciiTheme="minorHAnsi" w:hAnsiTheme="minorHAnsi" w:cstheme="minorBidi"/>
          <w:sz w:val="24"/>
          <w:szCs w:val="24"/>
          <w:lang w:val="en-US"/>
        </w:rPr>
        <w:t>never before</w:t>
      </w:r>
      <w:proofErr w:type="gramEnd"/>
      <w:r w:rsidRPr="0369AF28">
        <w:rPr>
          <w:rFonts w:asciiTheme="minorHAnsi" w:hAnsiTheme="minorHAnsi" w:cstheme="minorBidi"/>
          <w:sz w:val="24"/>
          <w:szCs w:val="24"/>
          <w:lang w:val="en-US"/>
        </w:rPr>
        <w:t xml:space="preserve"> reached by Lexibook at €74.0M (+26.3%). FOB revenue (revenue invoiced directly from HK on FOB HK full-container deliveries) and non-FOB revenue are both up, reflecting the enthusiasm for the Group’s products from international distribution.</w:t>
      </w:r>
    </w:p>
    <w:p w14:paraId="74C95FE6" w14:textId="2E733AEB" w:rsidR="5038E681" w:rsidRPr="004B564A" w:rsidRDefault="5038E681" w:rsidP="0369AF28">
      <w:pPr>
        <w:spacing w:line="240" w:lineRule="atLeast"/>
        <w:jc w:val="both"/>
        <w:rPr>
          <w:lang w:val="en-US"/>
        </w:rPr>
      </w:pPr>
      <w:r w:rsidRPr="0369AF28">
        <w:rPr>
          <w:rFonts w:asciiTheme="minorHAnsi" w:hAnsiTheme="minorHAnsi" w:cstheme="minorBidi"/>
          <w:sz w:val="24"/>
          <w:szCs w:val="24"/>
          <w:lang w:val="en-US"/>
        </w:rPr>
        <w:t>Over the full fiscal year, France represents 34% of revenue. International (outside Europe) increases from 10% to 13% of revenue and benefits from significant potential.</w:t>
      </w:r>
    </w:p>
    <w:p w14:paraId="48A41714" w14:textId="4049B707" w:rsidR="5038E681" w:rsidRPr="004B564A" w:rsidRDefault="5038E681" w:rsidP="0369AF28">
      <w:pPr>
        <w:spacing w:line="240" w:lineRule="atLeast"/>
        <w:jc w:val="both"/>
        <w:rPr>
          <w:lang w:val="en-US"/>
        </w:rPr>
      </w:pPr>
      <w:r w:rsidRPr="0369AF28">
        <w:rPr>
          <w:rFonts w:asciiTheme="minorHAnsi" w:hAnsiTheme="minorHAnsi" w:cstheme="minorBidi"/>
          <w:sz w:val="24"/>
          <w:szCs w:val="24"/>
          <w:lang w:val="en-US"/>
        </w:rPr>
        <w:t>In terms of products, sales growth is driven by toys, watches, musical instruments, and walkie-talkies thanks to new releases under the Group’s own brands and thanks to licensed products (mainly Stitch).</w:t>
      </w:r>
    </w:p>
    <w:p w14:paraId="16B0C88B" w14:textId="5CE2341C" w:rsidR="5038E681" w:rsidRPr="004B564A" w:rsidRDefault="5038E681" w:rsidP="0369AF28">
      <w:pPr>
        <w:spacing w:line="240" w:lineRule="atLeast"/>
        <w:jc w:val="both"/>
        <w:rPr>
          <w:lang w:val="en-US"/>
        </w:rPr>
      </w:pPr>
      <w:r w:rsidRPr="0369AF28">
        <w:rPr>
          <w:rFonts w:asciiTheme="minorHAnsi" w:hAnsiTheme="minorHAnsi" w:cstheme="minorBidi"/>
          <w:sz w:val="24"/>
          <w:szCs w:val="24"/>
          <w:lang w:val="en-US"/>
        </w:rPr>
        <w:t>Finally, the Group’s digitalization is bearing fruit: digital sales are growing strongly both in France and across various markets, notably thanks to a massive, large-scale global digital marketing campaign on the Group’s new products.</w:t>
      </w:r>
    </w:p>
    <w:p w14:paraId="3A17D79B" w14:textId="52A717B5" w:rsidR="5038E681" w:rsidRDefault="5038E681" w:rsidP="0369AF28">
      <w:pPr>
        <w:spacing w:line="240" w:lineRule="atLeast"/>
        <w:jc w:val="both"/>
        <w:rPr>
          <w:rFonts w:asciiTheme="minorHAnsi" w:hAnsiTheme="minorHAnsi" w:cstheme="minorBidi"/>
          <w:sz w:val="24"/>
          <w:szCs w:val="24"/>
          <w:lang w:val="en-US"/>
        </w:rPr>
      </w:pPr>
      <w:r w:rsidRPr="0369AF28">
        <w:rPr>
          <w:rFonts w:asciiTheme="minorHAnsi" w:hAnsiTheme="minorHAnsi" w:cstheme="minorBidi"/>
          <w:sz w:val="24"/>
          <w:szCs w:val="24"/>
          <w:lang w:val="en-US"/>
        </w:rPr>
        <w:t xml:space="preserve">In </w:t>
      </w:r>
      <w:proofErr w:type="gramStart"/>
      <w:r w:rsidRPr="0369AF28">
        <w:rPr>
          <w:rFonts w:asciiTheme="minorHAnsi" w:hAnsiTheme="minorHAnsi" w:cstheme="minorBidi"/>
          <w:sz w:val="24"/>
          <w:szCs w:val="24"/>
          <w:lang w:val="en-US"/>
        </w:rPr>
        <w:t>a context</w:t>
      </w:r>
      <w:proofErr w:type="gramEnd"/>
      <w:r w:rsidRPr="0369AF28">
        <w:rPr>
          <w:rFonts w:asciiTheme="minorHAnsi" w:hAnsiTheme="minorHAnsi" w:cstheme="minorBidi"/>
          <w:sz w:val="24"/>
          <w:szCs w:val="24"/>
          <w:lang w:val="en-US"/>
        </w:rPr>
        <w:t xml:space="preserve"> of euro depreciation vs USD of around 1.0% over one year, and a very significant increase in freight costs, the Group’s margins have nonetheless remained stable insofar as Lexibook has managed to maintain its prices, even increase them in a targeted manner, and has continued to launch highly profitable new products. </w:t>
      </w:r>
      <w:proofErr w:type="gramStart"/>
      <w:r w:rsidRPr="0369AF28">
        <w:rPr>
          <w:rFonts w:asciiTheme="minorHAnsi" w:hAnsiTheme="minorHAnsi" w:cstheme="minorBidi"/>
          <w:sz w:val="24"/>
          <w:szCs w:val="24"/>
          <w:lang w:val="en-US"/>
        </w:rPr>
        <w:t>Gross</w:t>
      </w:r>
      <w:proofErr w:type="gramEnd"/>
      <w:r w:rsidRPr="0369AF28">
        <w:rPr>
          <w:rFonts w:asciiTheme="minorHAnsi" w:hAnsiTheme="minorHAnsi" w:cstheme="minorBidi"/>
          <w:sz w:val="24"/>
          <w:szCs w:val="24"/>
          <w:lang w:val="en-US"/>
        </w:rPr>
        <w:t xml:space="preserve"> margin for the year thus stands at a high level of 60.2% vs 59.9% the previous year, up €9.5M vs the previous year and following an increase of €7.2M the previous year.</w:t>
      </w:r>
    </w:p>
    <w:p w14:paraId="5B05C54B" w14:textId="77777777" w:rsidR="009F4BD9" w:rsidRDefault="009F4BD9" w:rsidP="0369AF28">
      <w:pPr>
        <w:spacing w:line="240" w:lineRule="atLeast"/>
        <w:jc w:val="both"/>
        <w:rPr>
          <w:rFonts w:asciiTheme="minorHAnsi" w:hAnsiTheme="minorHAnsi" w:cstheme="minorBidi"/>
          <w:sz w:val="24"/>
          <w:szCs w:val="24"/>
          <w:lang w:val="en-US"/>
        </w:rPr>
      </w:pPr>
    </w:p>
    <w:p w14:paraId="3F88B3BF" w14:textId="77777777" w:rsidR="009F4BD9" w:rsidRDefault="009F4BD9" w:rsidP="0369AF28">
      <w:pPr>
        <w:spacing w:line="240" w:lineRule="atLeast"/>
        <w:jc w:val="both"/>
        <w:rPr>
          <w:rFonts w:asciiTheme="minorHAnsi" w:hAnsiTheme="minorHAnsi" w:cstheme="minorBidi"/>
          <w:sz w:val="24"/>
          <w:szCs w:val="24"/>
          <w:lang w:val="en-US"/>
        </w:rPr>
      </w:pPr>
    </w:p>
    <w:p w14:paraId="79DAA24B" w14:textId="77777777" w:rsidR="009F4BD9" w:rsidRDefault="009F4BD9" w:rsidP="0369AF28">
      <w:pPr>
        <w:spacing w:line="240" w:lineRule="atLeast"/>
        <w:jc w:val="both"/>
        <w:rPr>
          <w:rFonts w:asciiTheme="minorHAnsi" w:hAnsiTheme="minorHAnsi" w:cstheme="minorBidi"/>
          <w:sz w:val="24"/>
          <w:szCs w:val="24"/>
          <w:lang w:val="en-US"/>
        </w:rPr>
      </w:pPr>
    </w:p>
    <w:p w14:paraId="01685B14" w14:textId="77777777" w:rsidR="009F4BD9" w:rsidRDefault="009F4BD9" w:rsidP="0369AF28">
      <w:pPr>
        <w:spacing w:line="240" w:lineRule="atLeast"/>
        <w:jc w:val="both"/>
        <w:rPr>
          <w:rFonts w:asciiTheme="minorHAnsi" w:hAnsiTheme="minorHAnsi" w:cstheme="minorBidi"/>
          <w:sz w:val="24"/>
          <w:szCs w:val="24"/>
          <w:lang w:val="en-US"/>
        </w:rPr>
      </w:pPr>
    </w:p>
    <w:p w14:paraId="4F6487D3" w14:textId="77777777" w:rsidR="009F4BD9" w:rsidRDefault="009F4BD9" w:rsidP="0369AF28">
      <w:pPr>
        <w:spacing w:line="240" w:lineRule="atLeast"/>
        <w:jc w:val="both"/>
        <w:rPr>
          <w:rFonts w:asciiTheme="minorHAnsi" w:hAnsiTheme="minorHAnsi" w:cstheme="minorBidi"/>
          <w:sz w:val="24"/>
          <w:szCs w:val="24"/>
          <w:lang w:val="en-US"/>
        </w:rPr>
      </w:pPr>
    </w:p>
    <w:p w14:paraId="5CF66038" w14:textId="77777777" w:rsidR="009F4BD9" w:rsidRDefault="009F4BD9" w:rsidP="0369AF28">
      <w:pPr>
        <w:spacing w:line="240" w:lineRule="atLeast"/>
        <w:jc w:val="both"/>
        <w:rPr>
          <w:rFonts w:asciiTheme="minorHAnsi" w:hAnsiTheme="minorHAnsi" w:cstheme="minorBidi"/>
          <w:sz w:val="24"/>
          <w:szCs w:val="24"/>
          <w:lang w:val="en-US"/>
        </w:rPr>
      </w:pPr>
    </w:p>
    <w:p w14:paraId="1C25792E" w14:textId="77777777" w:rsidR="009F4BD9" w:rsidRDefault="009F4BD9" w:rsidP="0369AF28">
      <w:pPr>
        <w:spacing w:line="240" w:lineRule="atLeast"/>
        <w:jc w:val="both"/>
        <w:rPr>
          <w:rFonts w:asciiTheme="minorHAnsi" w:hAnsiTheme="minorHAnsi" w:cstheme="minorBidi"/>
          <w:sz w:val="24"/>
          <w:szCs w:val="24"/>
          <w:lang w:val="en-US"/>
        </w:rPr>
      </w:pPr>
    </w:p>
    <w:p w14:paraId="64BCB985" w14:textId="77777777" w:rsidR="009F4BD9" w:rsidRDefault="009F4BD9" w:rsidP="0369AF28">
      <w:pPr>
        <w:spacing w:line="240" w:lineRule="atLeast"/>
        <w:jc w:val="both"/>
        <w:rPr>
          <w:rFonts w:asciiTheme="minorHAnsi" w:hAnsiTheme="minorHAnsi" w:cstheme="minorBidi"/>
          <w:sz w:val="24"/>
          <w:szCs w:val="24"/>
          <w:lang w:val="en-US"/>
        </w:rPr>
      </w:pPr>
    </w:p>
    <w:p w14:paraId="4C41C198" w14:textId="77777777" w:rsidR="009F4BD9" w:rsidRPr="004B564A" w:rsidRDefault="009F4BD9" w:rsidP="0369AF28">
      <w:pPr>
        <w:spacing w:line="240" w:lineRule="atLeast"/>
        <w:jc w:val="both"/>
        <w:rPr>
          <w:lang w:val="en-US"/>
        </w:rPr>
      </w:pPr>
    </w:p>
    <w:p w14:paraId="46864171" w14:textId="717AB7A5" w:rsidR="009F4BD9" w:rsidRDefault="5038E681" w:rsidP="0369AF28">
      <w:pPr>
        <w:spacing w:line="240" w:lineRule="atLeast"/>
        <w:jc w:val="both"/>
        <w:rPr>
          <w:rFonts w:asciiTheme="minorHAnsi" w:hAnsiTheme="minorHAnsi" w:cstheme="minorBidi"/>
          <w:sz w:val="24"/>
          <w:szCs w:val="24"/>
          <w:lang w:val="en-US"/>
        </w:rPr>
      </w:pPr>
      <w:r w:rsidRPr="65E0E866">
        <w:rPr>
          <w:rFonts w:asciiTheme="minorHAnsi" w:hAnsiTheme="minorHAnsi" w:cstheme="minorBidi"/>
          <w:sz w:val="24"/>
          <w:szCs w:val="24"/>
          <w:lang w:val="en-US"/>
        </w:rPr>
        <w:t xml:space="preserve">The table below presents the gross margin, the gross margin adjusted for exchange rate impacts which are included in the financial result and exceptional items included in the gross margin, and the net margin 4 after advertising contributions and royalties: </w:t>
      </w:r>
    </w:p>
    <w:tbl>
      <w:tblPr>
        <w:tblW w:w="10304" w:type="dxa"/>
        <w:tblCellMar>
          <w:top w:w="15" w:type="dxa"/>
          <w:left w:w="70" w:type="dxa"/>
          <w:bottom w:w="15" w:type="dxa"/>
          <w:right w:w="70" w:type="dxa"/>
        </w:tblCellMar>
        <w:tblLook w:val="04A0" w:firstRow="1" w:lastRow="0" w:firstColumn="1" w:lastColumn="0" w:noHBand="0" w:noVBand="1"/>
      </w:tblPr>
      <w:tblGrid>
        <w:gridCol w:w="3166"/>
        <w:gridCol w:w="837"/>
        <w:gridCol w:w="1321"/>
        <w:gridCol w:w="216"/>
        <w:gridCol w:w="1420"/>
        <w:gridCol w:w="216"/>
        <w:gridCol w:w="1420"/>
        <w:gridCol w:w="216"/>
        <w:gridCol w:w="1492"/>
      </w:tblGrid>
      <w:tr w:rsidR="00776B6F" w:rsidRPr="00776B6F" w14:paraId="0B533A46" w14:textId="77777777" w:rsidTr="0085523C">
        <w:trPr>
          <w:trHeight w:val="800"/>
        </w:trPr>
        <w:tc>
          <w:tcPr>
            <w:tcW w:w="3166" w:type="dxa"/>
            <w:tcBorders>
              <w:top w:val="nil"/>
              <w:left w:val="nil"/>
              <w:bottom w:val="nil"/>
              <w:right w:val="nil"/>
            </w:tcBorders>
            <w:shd w:val="clear" w:color="000000" w:fill="FFFFFF"/>
            <w:noWrap/>
            <w:vAlign w:val="bottom"/>
            <w:hideMark/>
          </w:tcPr>
          <w:p w14:paraId="35970777" w14:textId="77777777" w:rsidR="00776B6F" w:rsidRPr="00776B6F" w:rsidRDefault="00776B6F" w:rsidP="00776B6F">
            <w:pPr>
              <w:spacing w:after="0" w:line="240" w:lineRule="auto"/>
              <w:rPr>
                <w:rFonts w:ascii="Arial" w:eastAsia="Times New Roman" w:hAnsi="Arial" w:cs="Arial"/>
                <w:b/>
                <w:bCs/>
                <w:sz w:val="20"/>
                <w:szCs w:val="20"/>
                <w:lang w:eastAsia="fr-FR"/>
              </w:rPr>
            </w:pPr>
            <w:r w:rsidRPr="00776B6F">
              <w:rPr>
                <w:rFonts w:ascii="Arial" w:eastAsia="Times New Roman" w:hAnsi="Arial" w:cs="Arial"/>
                <w:b/>
                <w:bCs/>
                <w:sz w:val="20"/>
                <w:szCs w:val="20"/>
                <w:lang w:eastAsia="fr-FR"/>
              </w:rPr>
              <w:t>In Euros</w:t>
            </w:r>
          </w:p>
        </w:tc>
        <w:tc>
          <w:tcPr>
            <w:tcW w:w="837" w:type="dxa"/>
            <w:tcBorders>
              <w:top w:val="nil"/>
              <w:left w:val="nil"/>
              <w:bottom w:val="nil"/>
              <w:right w:val="nil"/>
            </w:tcBorders>
            <w:shd w:val="clear" w:color="000000" w:fill="FFFFFF"/>
            <w:vAlign w:val="center"/>
            <w:hideMark/>
          </w:tcPr>
          <w:p w14:paraId="7E062E14" w14:textId="77777777" w:rsidR="00776B6F" w:rsidRPr="00776B6F" w:rsidRDefault="00776B6F" w:rsidP="00776B6F">
            <w:pPr>
              <w:spacing w:after="0" w:line="240" w:lineRule="auto"/>
              <w:jc w:val="center"/>
              <w:rPr>
                <w:rFonts w:ascii="Arial" w:eastAsia="Times New Roman" w:hAnsi="Arial" w:cs="Arial"/>
                <w:b/>
                <w:bCs/>
                <w:color w:val="FFFFFF"/>
                <w:sz w:val="20"/>
                <w:szCs w:val="20"/>
                <w:lang w:eastAsia="fr-FR"/>
              </w:rPr>
            </w:pPr>
            <w:r w:rsidRPr="00776B6F">
              <w:rPr>
                <w:rFonts w:ascii="Arial" w:eastAsia="Times New Roman" w:hAnsi="Arial" w:cs="Arial"/>
                <w:b/>
                <w:bCs/>
                <w:color w:val="FFFFFF"/>
                <w:sz w:val="20"/>
                <w:szCs w:val="20"/>
                <w:lang w:eastAsia="fr-FR"/>
              </w:rPr>
              <w:t>Notes</w:t>
            </w:r>
          </w:p>
        </w:tc>
        <w:tc>
          <w:tcPr>
            <w:tcW w:w="132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E22AAE7" w14:textId="77777777" w:rsidR="00776B6F" w:rsidRPr="00776B6F" w:rsidRDefault="00776B6F" w:rsidP="00776B6F">
            <w:pPr>
              <w:spacing w:after="0" w:line="240" w:lineRule="auto"/>
              <w:jc w:val="center"/>
              <w:rPr>
                <w:rFonts w:ascii="Arial" w:eastAsia="Times New Roman" w:hAnsi="Arial" w:cs="Arial"/>
                <w:b/>
                <w:bCs/>
                <w:sz w:val="16"/>
                <w:szCs w:val="16"/>
                <w:lang w:eastAsia="fr-FR"/>
              </w:rPr>
            </w:pPr>
            <w:r w:rsidRPr="00776B6F">
              <w:rPr>
                <w:rFonts w:ascii="Arial" w:eastAsia="Times New Roman" w:hAnsi="Arial" w:cs="Arial"/>
                <w:b/>
                <w:bCs/>
                <w:sz w:val="16"/>
                <w:szCs w:val="16"/>
                <w:lang w:eastAsia="fr-FR"/>
              </w:rPr>
              <w:t xml:space="preserve">MARCH 31, 2025 </w:t>
            </w:r>
          </w:p>
        </w:tc>
        <w:tc>
          <w:tcPr>
            <w:tcW w:w="216" w:type="dxa"/>
            <w:tcBorders>
              <w:top w:val="nil"/>
              <w:left w:val="nil"/>
              <w:bottom w:val="nil"/>
              <w:right w:val="nil"/>
            </w:tcBorders>
            <w:shd w:val="clear" w:color="000000" w:fill="FFFFFF"/>
            <w:vAlign w:val="center"/>
            <w:hideMark/>
          </w:tcPr>
          <w:p w14:paraId="230340A7" w14:textId="77777777" w:rsidR="00776B6F" w:rsidRPr="00776B6F" w:rsidRDefault="00776B6F" w:rsidP="00776B6F">
            <w:pPr>
              <w:spacing w:after="0" w:line="240" w:lineRule="auto"/>
              <w:jc w:val="center"/>
              <w:rPr>
                <w:rFonts w:ascii="Arial" w:eastAsia="Times New Roman" w:hAnsi="Arial" w:cs="Arial"/>
                <w:b/>
                <w:bCs/>
                <w:sz w:val="16"/>
                <w:szCs w:val="16"/>
                <w:lang w:eastAsia="fr-FR"/>
              </w:rPr>
            </w:pPr>
          </w:p>
        </w:tc>
        <w:tc>
          <w:tcPr>
            <w:tcW w:w="141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ED40D40" w14:textId="77777777" w:rsidR="00776B6F" w:rsidRPr="00776B6F" w:rsidRDefault="00776B6F" w:rsidP="00776B6F">
            <w:pPr>
              <w:spacing w:after="0" w:line="240" w:lineRule="auto"/>
              <w:jc w:val="center"/>
              <w:rPr>
                <w:rFonts w:ascii="Arial" w:eastAsia="Times New Roman" w:hAnsi="Arial" w:cs="Arial"/>
                <w:b/>
                <w:bCs/>
                <w:sz w:val="16"/>
                <w:szCs w:val="16"/>
                <w:lang w:eastAsia="fr-FR"/>
              </w:rPr>
            </w:pPr>
            <w:r w:rsidRPr="00776B6F">
              <w:rPr>
                <w:rFonts w:ascii="Arial" w:eastAsia="Times New Roman" w:hAnsi="Arial" w:cs="Arial"/>
                <w:b/>
                <w:bCs/>
                <w:sz w:val="16"/>
                <w:szCs w:val="16"/>
                <w:lang w:eastAsia="fr-FR"/>
              </w:rPr>
              <w:t>MARCH 31, 2024</w:t>
            </w:r>
          </w:p>
        </w:tc>
        <w:tc>
          <w:tcPr>
            <w:tcW w:w="216" w:type="dxa"/>
            <w:tcBorders>
              <w:top w:val="nil"/>
              <w:left w:val="nil"/>
              <w:bottom w:val="nil"/>
              <w:right w:val="nil"/>
            </w:tcBorders>
            <w:shd w:val="clear" w:color="000000" w:fill="FFFFFF"/>
            <w:vAlign w:val="center"/>
            <w:hideMark/>
          </w:tcPr>
          <w:p w14:paraId="380D2E23" w14:textId="77777777" w:rsidR="00776B6F" w:rsidRPr="00776B6F" w:rsidRDefault="00776B6F" w:rsidP="00776B6F">
            <w:pPr>
              <w:spacing w:after="0" w:line="240" w:lineRule="auto"/>
              <w:jc w:val="center"/>
              <w:rPr>
                <w:rFonts w:ascii="Arial" w:eastAsia="Times New Roman" w:hAnsi="Arial" w:cs="Arial"/>
                <w:b/>
                <w:bCs/>
                <w:sz w:val="16"/>
                <w:szCs w:val="16"/>
                <w:lang w:eastAsia="fr-FR"/>
              </w:rPr>
            </w:pPr>
          </w:p>
        </w:tc>
        <w:tc>
          <w:tcPr>
            <w:tcW w:w="141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CAFBF0B" w14:textId="77777777" w:rsidR="00776B6F" w:rsidRPr="00776B6F" w:rsidRDefault="00776B6F" w:rsidP="00776B6F">
            <w:pPr>
              <w:spacing w:after="0" w:line="240" w:lineRule="auto"/>
              <w:jc w:val="center"/>
              <w:rPr>
                <w:rFonts w:ascii="Arial" w:eastAsia="Times New Roman" w:hAnsi="Arial" w:cs="Arial"/>
                <w:b/>
                <w:bCs/>
                <w:sz w:val="16"/>
                <w:szCs w:val="16"/>
                <w:lang w:eastAsia="fr-FR"/>
              </w:rPr>
            </w:pPr>
            <w:r w:rsidRPr="00776B6F">
              <w:rPr>
                <w:rFonts w:ascii="Arial" w:eastAsia="Times New Roman" w:hAnsi="Arial" w:cs="Arial"/>
                <w:b/>
                <w:bCs/>
                <w:sz w:val="16"/>
                <w:szCs w:val="16"/>
                <w:lang w:eastAsia="fr-FR"/>
              </w:rPr>
              <w:t>Variation In €</w:t>
            </w:r>
          </w:p>
        </w:tc>
        <w:tc>
          <w:tcPr>
            <w:tcW w:w="216" w:type="dxa"/>
            <w:tcBorders>
              <w:top w:val="nil"/>
              <w:left w:val="nil"/>
              <w:bottom w:val="nil"/>
              <w:right w:val="nil"/>
            </w:tcBorders>
            <w:shd w:val="clear" w:color="000000" w:fill="FFFFFF"/>
            <w:vAlign w:val="center"/>
            <w:hideMark/>
          </w:tcPr>
          <w:p w14:paraId="2D40EA08" w14:textId="77777777" w:rsidR="00776B6F" w:rsidRPr="00776B6F" w:rsidRDefault="00776B6F" w:rsidP="00776B6F">
            <w:pPr>
              <w:spacing w:after="0" w:line="240" w:lineRule="auto"/>
              <w:jc w:val="center"/>
              <w:rPr>
                <w:rFonts w:ascii="Arial" w:eastAsia="Times New Roman" w:hAnsi="Arial" w:cs="Arial"/>
                <w:b/>
                <w:bCs/>
                <w:sz w:val="16"/>
                <w:szCs w:val="16"/>
                <w:lang w:eastAsia="fr-FR"/>
              </w:rPr>
            </w:pPr>
          </w:p>
        </w:tc>
        <w:tc>
          <w:tcPr>
            <w:tcW w:w="149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E5EF113" w14:textId="77777777" w:rsidR="00776B6F" w:rsidRPr="00776B6F" w:rsidRDefault="00776B6F" w:rsidP="00776B6F">
            <w:pPr>
              <w:spacing w:after="0" w:line="240" w:lineRule="auto"/>
              <w:jc w:val="center"/>
              <w:rPr>
                <w:rFonts w:ascii="Arial" w:eastAsia="Times New Roman" w:hAnsi="Arial" w:cs="Arial"/>
                <w:b/>
                <w:bCs/>
                <w:sz w:val="16"/>
                <w:szCs w:val="16"/>
                <w:lang w:eastAsia="fr-FR"/>
              </w:rPr>
            </w:pPr>
            <w:r w:rsidRPr="00776B6F">
              <w:rPr>
                <w:rFonts w:ascii="Arial" w:eastAsia="Times New Roman" w:hAnsi="Arial" w:cs="Arial"/>
                <w:b/>
                <w:bCs/>
                <w:sz w:val="16"/>
                <w:szCs w:val="16"/>
                <w:lang w:eastAsia="fr-FR"/>
              </w:rPr>
              <w:t>Variation In %</w:t>
            </w:r>
          </w:p>
        </w:tc>
      </w:tr>
      <w:tr w:rsidR="00776B6F" w:rsidRPr="00776B6F" w14:paraId="5AFC4ED2" w14:textId="77777777" w:rsidTr="0085523C">
        <w:trPr>
          <w:trHeight w:val="340"/>
        </w:trPr>
        <w:tc>
          <w:tcPr>
            <w:tcW w:w="3166" w:type="dxa"/>
            <w:tcBorders>
              <w:top w:val="nil"/>
              <w:left w:val="nil"/>
              <w:bottom w:val="nil"/>
              <w:right w:val="nil"/>
            </w:tcBorders>
            <w:shd w:val="clear" w:color="000000" w:fill="FFFFFF"/>
            <w:noWrap/>
            <w:vAlign w:val="bottom"/>
            <w:hideMark/>
          </w:tcPr>
          <w:p w14:paraId="12EF5724" w14:textId="77777777" w:rsidR="00776B6F" w:rsidRPr="00776B6F" w:rsidRDefault="00776B6F" w:rsidP="00776B6F">
            <w:pPr>
              <w:spacing w:after="0" w:line="240" w:lineRule="auto"/>
              <w:jc w:val="center"/>
              <w:rPr>
                <w:rFonts w:ascii="Arial" w:eastAsia="Times New Roman" w:hAnsi="Arial" w:cs="Arial"/>
                <w:b/>
                <w:bCs/>
                <w:sz w:val="16"/>
                <w:szCs w:val="16"/>
                <w:lang w:eastAsia="fr-FR"/>
              </w:rPr>
            </w:pPr>
          </w:p>
        </w:tc>
        <w:tc>
          <w:tcPr>
            <w:tcW w:w="2158" w:type="dxa"/>
            <w:gridSpan w:val="2"/>
            <w:tcBorders>
              <w:top w:val="nil"/>
              <w:left w:val="nil"/>
              <w:bottom w:val="nil"/>
              <w:right w:val="nil"/>
            </w:tcBorders>
            <w:shd w:val="clear" w:color="000000" w:fill="FFFFFF"/>
            <w:noWrap/>
            <w:vAlign w:val="bottom"/>
            <w:hideMark/>
          </w:tcPr>
          <w:p w14:paraId="02EEAD0A" w14:textId="77777777" w:rsidR="00776B6F" w:rsidRPr="00776B6F" w:rsidRDefault="00776B6F" w:rsidP="00776B6F">
            <w:pPr>
              <w:spacing w:after="0" w:line="240" w:lineRule="auto"/>
              <w:rPr>
                <w:rFonts w:ascii="Times New Roman" w:eastAsia="Times New Roman" w:hAnsi="Times New Roman"/>
                <w:sz w:val="20"/>
                <w:szCs w:val="20"/>
                <w:lang w:eastAsia="fr-FR"/>
              </w:rPr>
            </w:pPr>
          </w:p>
        </w:tc>
        <w:tc>
          <w:tcPr>
            <w:tcW w:w="1636" w:type="dxa"/>
            <w:gridSpan w:val="2"/>
            <w:tcBorders>
              <w:top w:val="nil"/>
              <w:left w:val="nil"/>
              <w:bottom w:val="nil"/>
              <w:right w:val="nil"/>
            </w:tcBorders>
            <w:shd w:val="clear" w:color="000000" w:fill="FFFFFF"/>
            <w:noWrap/>
            <w:vAlign w:val="bottom"/>
            <w:hideMark/>
          </w:tcPr>
          <w:p w14:paraId="19710B83" w14:textId="77777777" w:rsidR="00776B6F" w:rsidRPr="00776B6F" w:rsidRDefault="00776B6F" w:rsidP="00776B6F">
            <w:pPr>
              <w:spacing w:after="0" w:line="240" w:lineRule="auto"/>
              <w:rPr>
                <w:rFonts w:ascii="Times New Roman" w:eastAsia="Times New Roman" w:hAnsi="Times New Roman"/>
                <w:sz w:val="20"/>
                <w:szCs w:val="20"/>
                <w:lang w:eastAsia="fr-FR"/>
              </w:rPr>
            </w:pPr>
          </w:p>
        </w:tc>
        <w:tc>
          <w:tcPr>
            <w:tcW w:w="1636" w:type="dxa"/>
            <w:gridSpan w:val="2"/>
            <w:tcBorders>
              <w:top w:val="nil"/>
              <w:left w:val="nil"/>
              <w:bottom w:val="nil"/>
              <w:right w:val="nil"/>
            </w:tcBorders>
            <w:shd w:val="clear" w:color="000000" w:fill="FFFFFF"/>
            <w:noWrap/>
            <w:vAlign w:val="bottom"/>
            <w:hideMark/>
          </w:tcPr>
          <w:p w14:paraId="20D360E2" w14:textId="77777777" w:rsidR="00776B6F" w:rsidRPr="00776B6F" w:rsidRDefault="00776B6F" w:rsidP="00776B6F">
            <w:pPr>
              <w:spacing w:after="0" w:line="240" w:lineRule="auto"/>
              <w:rPr>
                <w:rFonts w:ascii="Times New Roman" w:eastAsia="Times New Roman" w:hAnsi="Times New Roman"/>
                <w:sz w:val="20"/>
                <w:szCs w:val="20"/>
                <w:lang w:eastAsia="fr-FR"/>
              </w:rPr>
            </w:pPr>
          </w:p>
        </w:tc>
        <w:tc>
          <w:tcPr>
            <w:tcW w:w="1708" w:type="dxa"/>
            <w:gridSpan w:val="2"/>
            <w:tcBorders>
              <w:top w:val="nil"/>
              <w:left w:val="nil"/>
              <w:bottom w:val="nil"/>
              <w:right w:val="nil"/>
            </w:tcBorders>
            <w:shd w:val="clear" w:color="000000" w:fill="FFFFFF"/>
            <w:noWrap/>
            <w:vAlign w:val="bottom"/>
            <w:hideMark/>
          </w:tcPr>
          <w:p w14:paraId="683882BC" w14:textId="77777777" w:rsidR="00776B6F" w:rsidRPr="00776B6F" w:rsidRDefault="00776B6F" w:rsidP="00776B6F">
            <w:pPr>
              <w:spacing w:after="0" w:line="240" w:lineRule="auto"/>
              <w:rPr>
                <w:rFonts w:ascii="Times New Roman" w:eastAsia="Times New Roman" w:hAnsi="Times New Roman"/>
                <w:sz w:val="20"/>
                <w:szCs w:val="20"/>
                <w:lang w:eastAsia="fr-FR"/>
              </w:rPr>
            </w:pPr>
          </w:p>
        </w:tc>
      </w:tr>
      <w:tr w:rsidR="00B24460" w:rsidRPr="00776B6F" w14:paraId="3C12F765" w14:textId="77777777" w:rsidTr="0085523C">
        <w:trPr>
          <w:trHeight w:val="340"/>
        </w:trPr>
        <w:tc>
          <w:tcPr>
            <w:tcW w:w="3166" w:type="dxa"/>
            <w:tcBorders>
              <w:top w:val="single" w:sz="4" w:space="0" w:color="000000"/>
              <w:left w:val="single" w:sz="4" w:space="0" w:color="auto"/>
              <w:bottom w:val="nil"/>
              <w:right w:val="single" w:sz="4" w:space="0" w:color="auto"/>
            </w:tcBorders>
            <w:shd w:val="clear" w:color="000000" w:fill="FFFFFF"/>
            <w:noWrap/>
            <w:vAlign w:val="bottom"/>
            <w:hideMark/>
          </w:tcPr>
          <w:p w14:paraId="1C68B70B" w14:textId="77777777" w:rsidR="00776B6F" w:rsidRPr="00776B6F" w:rsidRDefault="00776B6F" w:rsidP="00776B6F">
            <w:pPr>
              <w:spacing w:after="0" w:line="240" w:lineRule="auto"/>
              <w:rPr>
                <w:rFonts w:ascii="Arial" w:eastAsia="Times New Roman" w:hAnsi="Arial" w:cs="Arial"/>
                <w:sz w:val="16"/>
                <w:szCs w:val="16"/>
                <w:lang w:eastAsia="fr-FR"/>
              </w:rPr>
            </w:pPr>
            <w:r w:rsidRPr="00776B6F">
              <w:rPr>
                <w:rFonts w:ascii="Arial" w:eastAsia="Times New Roman" w:hAnsi="Arial" w:cs="Arial"/>
                <w:sz w:val="16"/>
                <w:szCs w:val="16"/>
                <w:lang w:eastAsia="fr-FR"/>
              </w:rPr>
              <w:t>Net sales</w:t>
            </w:r>
          </w:p>
        </w:tc>
        <w:tc>
          <w:tcPr>
            <w:tcW w:w="837" w:type="dxa"/>
            <w:tcBorders>
              <w:top w:val="nil"/>
              <w:left w:val="nil"/>
              <w:bottom w:val="nil"/>
              <w:right w:val="nil"/>
            </w:tcBorders>
            <w:shd w:val="clear" w:color="000000" w:fill="FFFFFF"/>
            <w:noWrap/>
            <w:vAlign w:val="bottom"/>
            <w:hideMark/>
          </w:tcPr>
          <w:p w14:paraId="7842D1EC" w14:textId="77777777" w:rsidR="00776B6F" w:rsidRPr="00776B6F" w:rsidRDefault="00776B6F" w:rsidP="00776B6F">
            <w:pPr>
              <w:spacing w:after="0" w:line="240" w:lineRule="auto"/>
              <w:rPr>
                <w:rFonts w:ascii="Arial" w:eastAsia="Times New Roman" w:hAnsi="Arial" w:cs="Arial"/>
                <w:sz w:val="16"/>
                <w:szCs w:val="16"/>
                <w:lang w:eastAsia="fr-FR"/>
              </w:rPr>
            </w:pPr>
          </w:p>
        </w:tc>
        <w:tc>
          <w:tcPr>
            <w:tcW w:w="1320" w:type="dxa"/>
            <w:tcBorders>
              <w:top w:val="single" w:sz="4" w:space="0" w:color="000000"/>
              <w:left w:val="single" w:sz="4" w:space="0" w:color="auto"/>
              <w:bottom w:val="nil"/>
              <w:right w:val="single" w:sz="4" w:space="0" w:color="auto"/>
            </w:tcBorders>
            <w:shd w:val="clear" w:color="000000" w:fill="FFFFFF"/>
            <w:noWrap/>
            <w:vAlign w:val="bottom"/>
            <w:hideMark/>
          </w:tcPr>
          <w:p w14:paraId="367C3C07" w14:textId="77777777" w:rsidR="00776B6F" w:rsidRPr="00776B6F" w:rsidRDefault="00776B6F" w:rsidP="00776B6F">
            <w:pPr>
              <w:spacing w:after="0" w:line="240" w:lineRule="auto"/>
              <w:jc w:val="right"/>
              <w:rPr>
                <w:rFonts w:ascii="Arial" w:eastAsia="Times New Roman" w:hAnsi="Arial" w:cs="Arial"/>
                <w:sz w:val="16"/>
                <w:szCs w:val="16"/>
                <w:lang w:eastAsia="fr-FR"/>
              </w:rPr>
            </w:pPr>
            <w:r w:rsidRPr="00776B6F">
              <w:rPr>
                <w:rFonts w:ascii="Arial" w:eastAsia="Times New Roman" w:hAnsi="Arial" w:cs="Arial"/>
                <w:sz w:val="16"/>
                <w:szCs w:val="16"/>
                <w:lang w:eastAsia="fr-FR"/>
              </w:rPr>
              <w:t>74 011 747</w:t>
            </w:r>
          </w:p>
        </w:tc>
        <w:tc>
          <w:tcPr>
            <w:tcW w:w="216" w:type="dxa"/>
            <w:tcBorders>
              <w:top w:val="nil"/>
              <w:left w:val="nil"/>
              <w:bottom w:val="nil"/>
              <w:right w:val="nil"/>
            </w:tcBorders>
            <w:shd w:val="clear" w:color="000000" w:fill="FFFFFF"/>
            <w:noWrap/>
            <w:vAlign w:val="bottom"/>
            <w:hideMark/>
          </w:tcPr>
          <w:p w14:paraId="5717A498" w14:textId="77777777" w:rsidR="00776B6F" w:rsidRPr="00776B6F" w:rsidRDefault="00776B6F" w:rsidP="00776B6F">
            <w:pPr>
              <w:spacing w:after="0" w:line="240" w:lineRule="auto"/>
              <w:jc w:val="right"/>
              <w:rPr>
                <w:rFonts w:ascii="Arial" w:eastAsia="Times New Roman" w:hAnsi="Arial" w:cs="Arial"/>
                <w:sz w:val="16"/>
                <w:szCs w:val="16"/>
                <w:lang w:eastAsia="fr-FR"/>
              </w:rPr>
            </w:pPr>
          </w:p>
        </w:tc>
        <w:tc>
          <w:tcPr>
            <w:tcW w:w="1419" w:type="dxa"/>
            <w:tcBorders>
              <w:top w:val="single" w:sz="4" w:space="0" w:color="000000"/>
              <w:left w:val="single" w:sz="4" w:space="0" w:color="auto"/>
              <w:bottom w:val="nil"/>
              <w:right w:val="single" w:sz="4" w:space="0" w:color="auto"/>
            </w:tcBorders>
            <w:shd w:val="clear" w:color="000000" w:fill="FFFFFF"/>
            <w:noWrap/>
            <w:vAlign w:val="bottom"/>
            <w:hideMark/>
          </w:tcPr>
          <w:p w14:paraId="41124312" w14:textId="77777777" w:rsidR="00776B6F" w:rsidRPr="00776B6F" w:rsidRDefault="00776B6F" w:rsidP="00776B6F">
            <w:pPr>
              <w:spacing w:after="0" w:line="240" w:lineRule="auto"/>
              <w:jc w:val="right"/>
              <w:rPr>
                <w:rFonts w:ascii="Arial" w:eastAsia="Times New Roman" w:hAnsi="Arial" w:cs="Arial"/>
                <w:sz w:val="16"/>
                <w:szCs w:val="16"/>
                <w:lang w:eastAsia="fr-FR"/>
              </w:rPr>
            </w:pPr>
            <w:r w:rsidRPr="00776B6F">
              <w:rPr>
                <w:rFonts w:ascii="Arial" w:eastAsia="Times New Roman" w:hAnsi="Arial" w:cs="Arial"/>
                <w:sz w:val="16"/>
                <w:szCs w:val="16"/>
                <w:lang w:eastAsia="fr-FR"/>
              </w:rPr>
              <w:t>58 620 967</w:t>
            </w:r>
          </w:p>
        </w:tc>
        <w:tc>
          <w:tcPr>
            <w:tcW w:w="216" w:type="dxa"/>
            <w:tcBorders>
              <w:top w:val="nil"/>
              <w:left w:val="nil"/>
              <w:bottom w:val="nil"/>
              <w:right w:val="nil"/>
            </w:tcBorders>
            <w:shd w:val="clear" w:color="000000" w:fill="FFFFFF"/>
            <w:noWrap/>
            <w:vAlign w:val="bottom"/>
            <w:hideMark/>
          </w:tcPr>
          <w:p w14:paraId="74A3D9EF" w14:textId="77777777" w:rsidR="00776B6F" w:rsidRPr="00776B6F" w:rsidRDefault="00776B6F" w:rsidP="00776B6F">
            <w:pPr>
              <w:spacing w:after="0" w:line="240" w:lineRule="auto"/>
              <w:jc w:val="right"/>
              <w:rPr>
                <w:rFonts w:ascii="Arial" w:eastAsia="Times New Roman" w:hAnsi="Arial" w:cs="Arial"/>
                <w:sz w:val="16"/>
                <w:szCs w:val="16"/>
                <w:lang w:eastAsia="fr-FR"/>
              </w:rPr>
            </w:pPr>
          </w:p>
        </w:tc>
        <w:tc>
          <w:tcPr>
            <w:tcW w:w="1419" w:type="dxa"/>
            <w:tcBorders>
              <w:top w:val="single" w:sz="4" w:space="0" w:color="000000"/>
              <w:left w:val="single" w:sz="4" w:space="0" w:color="auto"/>
              <w:bottom w:val="nil"/>
              <w:right w:val="single" w:sz="4" w:space="0" w:color="auto"/>
            </w:tcBorders>
            <w:shd w:val="clear" w:color="000000" w:fill="FFFFFF"/>
            <w:noWrap/>
            <w:vAlign w:val="bottom"/>
            <w:hideMark/>
          </w:tcPr>
          <w:p w14:paraId="4CECA234" w14:textId="77777777" w:rsidR="00776B6F" w:rsidRPr="00776B6F" w:rsidRDefault="00776B6F" w:rsidP="00776B6F">
            <w:pPr>
              <w:spacing w:after="0" w:line="240" w:lineRule="auto"/>
              <w:jc w:val="right"/>
              <w:rPr>
                <w:rFonts w:ascii="Arial" w:eastAsia="Times New Roman" w:hAnsi="Arial" w:cs="Arial"/>
                <w:sz w:val="16"/>
                <w:szCs w:val="16"/>
                <w:lang w:eastAsia="fr-FR"/>
              </w:rPr>
            </w:pPr>
            <w:r w:rsidRPr="00776B6F">
              <w:rPr>
                <w:rFonts w:ascii="Arial" w:eastAsia="Times New Roman" w:hAnsi="Arial" w:cs="Arial"/>
                <w:sz w:val="16"/>
                <w:szCs w:val="16"/>
                <w:lang w:eastAsia="fr-FR"/>
              </w:rPr>
              <w:t>15 390 780</w:t>
            </w:r>
          </w:p>
        </w:tc>
        <w:tc>
          <w:tcPr>
            <w:tcW w:w="216" w:type="dxa"/>
            <w:tcBorders>
              <w:top w:val="nil"/>
              <w:left w:val="nil"/>
              <w:bottom w:val="nil"/>
              <w:right w:val="nil"/>
            </w:tcBorders>
            <w:shd w:val="clear" w:color="000000" w:fill="FFFFFF"/>
            <w:noWrap/>
            <w:vAlign w:val="bottom"/>
            <w:hideMark/>
          </w:tcPr>
          <w:p w14:paraId="2D1792D0" w14:textId="77777777" w:rsidR="00776B6F" w:rsidRPr="00776B6F" w:rsidRDefault="00776B6F" w:rsidP="00776B6F">
            <w:pPr>
              <w:spacing w:after="0" w:line="240" w:lineRule="auto"/>
              <w:jc w:val="right"/>
              <w:rPr>
                <w:rFonts w:ascii="Arial" w:eastAsia="Times New Roman" w:hAnsi="Arial" w:cs="Arial"/>
                <w:sz w:val="16"/>
                <w:szCs w:val="16"/>
                <w:lang w:eastAsia="fr-FR"/>
              </w:rPr>
            </w:pPr>
          </w:p>
        </w:tc>
        <w:tc>
          <w:tcPr>
            <w:tcW w:w="1491" w:type="dxa"/>
            <w:tcBorders>
              <w:top w:val="single" w:sz="4" w:space="0" w:color="000000"/>
              <w:left w:val="single" w:sz="4" w:space="0" w:color="auto"/>
              <w:bottom w:val="nil"/>
              <w:right w:val="single" w:sz="4" w:space="0" w:color="auto"/>
            </w:tcBorders>
            <w:shd w:val="clear" w:color="000000" w:fill="FFFFFF"/>
            <w:noWrap/>
            <w:vAlign w:val="bottom"/>
            <w:hideMark/>
          </w:tcPr>
          <w:p w14:paraId="7C67FAF1" w14:textId="77777777" w:rsidR="00776B6F" w:rsidRPr="00776B6F" w:rsidRDefault="00776B6F" w:rsidP="00776B6F">
            <w:pPr>
              <w:spacing w:after="0" w:line="240" w:lineRule="auto"/>
              <w:jc w:val="right"/>
              <w:rPr>
                <w:rFonts w:ascii="Arial" w:eastAsia="Times New Roman" w:hAnsi="Arial" w:cs="Arial"/>
                <w:sz w:val="16"/>
                <w:szCs w:val="16"/>
                <w:lang w:eastAsia="fr-FR"/>
              </w:rPr>
            </w:pPr>
            <w:r w:rsidRPr="00776B6F">
              <w:rPr>
                <w:rFonts w:ascii="Arial" w:eastAsia="Times New Roman" w:hAnsi="Arial" w:cs="Arial"/>
                <w:sz w:val="16"/>
                <w:szCs w:val="16"/>
                <w:lang w:eastAsia="fr-FR"/>
              </w:rPr>
              <w:t>26,3%</w:t>
            </w:r>
          </w:p>
        </w:tc>
      </w:tr>
      <w:tr w:rsidR="00B24460" w:rsidRPr="00776B6F" w14:paraId="0DE5171A" w14:textId="77777777" w:rsidTr="0085523C">
        <w:trPr>
          <w:trHeight w:val="340"/>
        </w:trPr>
        <w:tc>
          <w:tcPr>
            <w:tcW w:w="3166" w:type="dxa"/>
            <w:tcBorders>
              <w:top w:val="nil"/>
              <w:left w:val="single" w:sz="4" w:space="0" w:color="auto"/>
              <w:bottom w:val="single" w:sz="4" w:space="0" w:color="auto"/>
              <w:right w:val="single" w:sz="4" w:space="0" w:color="auto"/>
            </w:tcBorders>
            <w:shd w:val="clear" w:color="000000" w:fill="FFFFFF"/>
            <w:noWrap/>
            <w:vAlign w:val="bottom"/>
            <w:hideMark/>
          </w:tcPr>
          <w:p w14:paraId="3EA9C3AB" w14:textId="77777777" w:rsidR="00776B6F" w:rsidRPr="00776B6F" w:rsidRDefault="00776B6F" w:rsidP="00776B6F">
            <w:pPr>
              <w:spacing w:after="0" w:line="240" w:lineRule="auto"/>
              <w:rPr>
                <w:rFonts w:ascii="Arial" w:eastAsia="Times New Roman" w:hAnsi="Arial" w:cs="Arial"/>
                <w:sz w:val="16"/>
                <w:szCs w:val="16"/>
                <w:lang w:eastAsia="fr-FR"/>
              </w:rPr>
            </w:pPr>
            <w:proofErr w:type="spellStart"/>
            <w:r w:rsidRPr="00776B6F">
              <w:rPr>
                <w:rFonts w:ascii="Arial" w:eastAsia="Times New Roman" w:hAnsi="Arial" w:cs="Arial"/>
                <w:sz w:val="16"/>
                <w:szCs w:val="16"/>
                <w:lang w:eastAsia="fr-FR"/>
              </w:rPr>
              <w:t>Cost</w:t>
            </w:r>
            <w:proofErr w:type="spellEnd"/>
            <w:r w:rsidRPr="00776B6F">
              <w:rPr>
                <w:rFonts w:ascii="Arial" w:eastAsia="Times New Roman" w:hAnsi="Arial" w:cs="Arial"/>
                <w:sz w:val="16"/>
                <w:szCs w:val="16"/>
                <w:lang w:eastAsia="fr-FR"/>
              </w:rPr>
              <w:t xml:space="preserve"> of </w:t>
            </w:r>
            <w:proofErr w:type="spellStart"/>
            <w:r w:rsidRPr="00776B6F">
              <w:rPr>
                <w:rFonts w:ascii="Arial" w:eastAsia="Times New Roman" w:hAnsi="Arial" w:cs="Arial"/>
                <w:sz w:val="16"/>
                <w:szCs w:val="16"/>
                <w:lang w:eastAsia="fr-FR"/>
              </w:rPr>
              <w:t>goods</w:t>
            </w:r>
            <w:proofErr w:type="spellEnd"/>
            <w:r w:rsidRPr="00776B6F">
              <w:rPr>
                <w:rFonts w:ascii="Arial" w:eastAsia="Times New Roman" w:hAnsi="Arial" w:cs="Arial"/>
                <w:sz w:val="16"/>
                <w:szCs w:val="16"/>
                <w:lang w:eastAsia="fr-FR"/>
              </w:rPr>
              <w:t xml:space="preserve"> </w:t>
            </w:r>
            <w:proofErr w:type="spellStart"/>
            <w:r w:rsidRPr="00776B6F">
              <w:rPr>
                <w:rFonts w:ascii="Arial" w:eastAsia="Times New Roman" w:hAnsi="Arial" w:cs="Arial"/>
                <w:sz w:val="16"/>
                <w:szCs w:val="16"/>
                <w:lang w:eastAsia="fr-FR"/>
              </w:rPr>
              <w:t>sold</w:t>
            </w:r>
            <w:proofErr w:type="spellEnd"/>
          </w:p>
        </w:tc>
        <w:tc>
          <w:tcPr>
            <w:tcW w:w="837" w:type="dxa"/>
            <w:tcBorders>
              <w:top w:val="nil"/>
              <w:left w:val="nil"/>
              <w:bottom w:val="nil"/>
              <w:right w:val="nil"/>
            </w:tcBorders>
            <w:shd w:val="clear" w:color="000000" w:fill="FFFFFF"/>
            <w:noWrap/>
            <w:vAlign w:val="bottom"/>
            <w:hideMark/>
          </w:tcPr>
          <w:p w14:paraId="11C45921" w14:textId="77777777" w:rsidR="00776B6F" w:rsidRPr="00776B6F" w:rsidRDefault="00776B6F" w:rsidP="00776B6F">
            <w:pPr>
              <w:spacing w:after="0" w:line="240" w:lineRule="auto"/>
              <w:rPr>
                <w:rFonts w:ascii="Arial" w:eastAsia="Times New Roman" w:hAnsi="Arial" w:cs="Arial"/>
                <w:sz w:val="16"/>
                <w:szCs w:val="16"/>
                <w:lang w:eastAsia="fr-FR"/>
              </w:rPr>
            </w:pPr>
          </w:p>
        </w:tc>
        <w:tc>
          <w:tcPr>
            <w:tcW w:w="1320" w:type="dxa"/>
            <w:tcBorders>
              <w:top w:val="nil"/>
              <w:left w:val="single" w:sz="4" w:space="0" w:color="auto"/>
              <w:bottom w:val="single" w:sz="4" w:space="0" w:color="auto"/>
              <w:right w:val="single" w:sz="4" w:space="0" w:color="auto"/>
            </w:tcBorders>
            <w:shd w:val="clear" w:color="000000" w:fill="FFFFFF"/>
            <w:noWrap/>
            <w:vAlign w:val="bottom"/>
            <w:hideMark/>
          </w:tcPr>
          <w:p w14:paraId="349C10F2" w14:textId="77777777" w:rsidR="00776B6F" w:rsidRPr="00776B6F" w:rsidRDefault="00776B6F" w:rsidP="00776B6F">
            <w:pPr>
              <w:spacing w:after="0" w:line="240" w:lineRule="auto"/>
              <w:jc w:val="right"/>
              <w:rPr>
                <w:rFonts w:ascii="Arial" w:eastAsia="Times New Roman" w:hAnsi="Arial" w:cs="Arial"/>
                <w:sz w:val="16"/>
                <w:szCs w:val="16"/>
                <w:lang w:eastAsia="fr-FR"/>
              </w:rPr>
            </w:pPr>
            <w:r w:rsidRPr="00776B6F">
              <w:rPr>
                <w:rFonts w:ascii="Arial" w:eastAsia="Times New Roman" w:hAnsi="Arial" w:cs="Arial"/>
                <w:sz w:val="16"/>
                <w:szCs w:val="16"/>
                <w:lang w:eastAsia="fr-FR"/>
              </w:rPr>
              <w:t>-29 454 950</w:t>
            </w:r>
          </w:p>
        </w:tc>
        <w:tc>
          <w:tcPr>
            <w:tcW w:w="216" w:type="dxa"/>
            <w:tcBorders>
              <w:top w:val="nil"/>
              <w:left w:val="nil"/>
              <w:bottom w:val="nil"/>
              <w:right w:val="nil"/>
            </w:tcBorders>
            <w:shd w:val="clear" w:color="000000" w:fill="FFFFFF"/>
            <w:noWrap/>
            <w:vAlign w:val="bottom"/>
            <w:hideMark/>
          </w:tcPr>
          <w:p w14:paraId="6242D21A" w14:textId="77777777" w:rsidR="00776B6F" w:rsidRPr="00776B6F" w:rsidRDefault="00776B6F" w:rsidP="00776B6F">
            <w:pPr>
              <w:spacing w:after="0" w:line="240" w:lineRule="auto"/>
              <w:jc w:val="right"/>
              <w:rPr>
                <w:rFonts w:ascii="Arial" w:eastAsia="Times New Roman" w:hAnsi="Arial" w:cs="Arial"/>
                <w:sz w:val="16"/>
                <w:szCs w:val="16"/>
                <w:lang w:eastAsia="fr-FR"/>
              </w:rPr>
            </w:pPr>
          </w:p>
        </w:tc>
        <w:tc>
          <w:tcPr>
            <w:tcW w:w="1419" w:type="dxa"/>
            <w:tcBorders>
              <w:top w:val="nil"/>
              <w:left w:val="single" w:sz="4" w:space="0" w:color="auto"/>
              <w:bottom w:val="single" w:sz="4" w:space="0" w:color="auto"/>
              <w:right w:val="single" w:sz="4" w:space="0" w:color="auto"/>
            </w:tcBorders>
            <w:shd w:val="clear" w:color="000000" w:fill="FFFFFF"/>
            <w:noWrap/>
            <w:vAlign w:val="bottom"/>
            <w:hideMark/>
          </w:tcPr>
          <w:p w14:paraId="38832682" w14:textId="77777777" w:rsidR="00776B6F" w:rsidRPr="00776B6F" w:rsidRDefault="00776B6F" w:rsidP="00776B6F">
            <w:pPr>
              <w:spacing w:after="0" w:line="240" w:lineRule="auto"/>
              <w:jc w:val="right"/>
              <w:rPr>
                <w:rFonts w:ascii="Arial" w:eastAsia="Times New Roman" w:hAnsi="Arial" w:cs="Arial"/>
                <w:sz w:val="16"/>
                <w:szCs w:val="16"/>
                <w:lang w:eastAsia="fr-FR"/>
              </w:rPr>
            </w:pPr>
            <w:r w:rsidRPr="00776B6F">
              <w:rPr>
                <w:rFonts w:ascii="Arial" w:eastAsia="Times New Roman" w:hAnsi="Arial" w:cs="Arial"/>
                <w:sz w:val="16"/>
                <w:szCs w:val="16"/>
                <w:lang w:eastAsia="fr-FR"/>
              </w:rPr>
              <w:t>-23 534 525</w:t>
            </w:r>
          </w:p>
        </w:tc>
        <w:tc>
          <w:tcPr>
            <w:tcW w:w="216" w:type="dxa"/>
            <w:tcBorders>
              <w:top w:val="nil"/>
              <w:left w:val="nil"/>
              <w:bottom w:val="nil"/>
              <w:right w:val="nil"/>
            </w:tcBorders>
            <w:shd w:val="clear" w:color="000000" w:fill="FFFFFF"/>
            <w:noWrap/>
            <w:vAlign w:val="bottom"/>
            <w:hideMark/>
          </w:tcPr>
          <w:p w14:paraId="1A6914C2" w14:textId="77777777" w:rsidR="00776B6F" w:rsidRPr="00776B6F" w:rsidRDefault="00776B6F" w:rsidP="00776B6F">
            <w:pPr>
              <w:spacing w:after="0" w:line="240" w:lineRule="auto"/>
              <w:jc w:val="right"/>
              <w:rPr>
                <w:rFonts w:ascii="Arial" w:eastAsia="Times New Roman" w:hAnsi="Arial" w:cs="Arial"/>
                <w:sz w:val="16"/>
                <w:szCs w:val="16"/>
                <w:lang w:eastAsia="fr-FR"/>
              </w:rPr>
            </w:pPr>
          </w:p>
        </w:tc>
        <w:tc>
          <w:tcPr>
            <w:tcW w:w="1419" w:type="dxa"/>
            <w:tcBorders>
              <w:top w:val="nil"/>
              <w:left w:val="single" w:sz="4" w:space="0" w:color="auto"/>
              <w:bottom w:val="single" w:sz="4" w:space="0" w:color="auto"/>
              <w:right w:val="single" w:sz="4" w:space="0" w:color="auto"/>
            </w:tcBorders>
            <w:shd w:val="clear" w:color="000000" w:fill="FFFFFF"/>
            <w:noWrap/>
            <w:vAlign w:val="bottom"/>
            <w:hideMark/>
          </w:tcPr>
          <w:p w14:paraId="4C4E0D8C" w14:textId="77777777" w:rsidR="00776B6F" w:rsidRPr="00776B6F" w:rsidRDefault="00776B6F" w:rsidP="00776B6F">
            <w:pPr>
              <w:spacing w:after="0" w:line="240" w:lineRule="auto"/>
              <w:jc w:val="right"/>
              <w:rPr>
                <w:rFonts w:ascii="Arial" w:eastAsia="Times New Roman" w:hAnsi="Arial" w:cs="Arial"/>
                <w:sz w:val="16"/>
                <w:szCs w:val="16"/>
                <w:lang w:eastAsia="fr-FR"/>
              </w:rPr>
            </w:pPr>
            <w:r w:rsidRPr="00776B6F">
              <w:rPr>
                <w:rFonts w:ascii="Arial" w:eastAsia="Times New Roman" w:hAnsi="Arial" w:cs="Arial"/>
                <w:sz w:val="16"/>
                <w:szCs w:val="16"/>
                <w:lang w:eastAsia="fr-FR"/>
              </w:rPr>
              <w:t>-5 920 425</w:t>
            </w:r>
          </w:p>
        </w:tc>
        <w:tc>
          <w:tcPr>
            <w:tcW w:w="216" w:type="dxa"/>
            <w:tcBorders>
              <w:top w:val="nil"/>
              <w:left w:val="nil"/>
              <w:bottom w:val="nil"/>
              <w:right w:val="nil"/>
            </w:tcBorders>
            <w:shd w:val="clear" w:color="000000" w:fill="FFFFFF"/>
            <w:noWrap/>
            <w:vAlign w:val="bottom"/>
            <w:hideMark/>
          </w:tcPr>
          <w:p w14:paraId="696AA11A" w14:textId="77777777" w:rsidR="00776B6F" w:rsidRPr="00776B6F" w:rsidRDefault="00776B6F" w:rsidP="00776B6F">
            <w:pPr>
              <w:spacing w:after="0" w:line="240" w:lineRule="auto"/>
              <w:jc w:val="right"/>
              <w:rPr>
                <w:rFonts w:ascii="Arial" w:eastAsia="Times New Roman" w:hAnsi="Arial" w:cs="Arial"/>
                <w:sz w:val="16"/>
                <w:szCs w:val="16"/>
                <w:lang w:eastAsia="fr-FR"/>
              </w:rPr>
            </w:pPr>
          </w:p>
        </w:tc>
        <w:tc>
          <w:tcPr>
            <w:tcW w:w="1491" w:type="dxa"/>
            <w:tcBorders>
              <w:top w:val="nil"/>
              <w:left w:val="single" w:sz="4" w:space="0" w:color="auto"/>
              <w:bottom w:val="single" w:sz="4" w:space="0" w:color="auto"/>
              <w:right w:val="single" w:sz="4" w:space="0" w:color="auto"/>
            </w:tcBorders>
            <w:shd w:val="clear" w:color="000000" w:fill="FFFFFF"/>
            <w:noWrap/>
            <w:vAlign w:val="bottom"/>
            <w:hideMark/>
          </w:tcPr>
          <w:p w14:paraId="3AB35C34" w14:textId="77777777" w:rsidR="00776B6F" w:rsidRPr="00776B6F" w:rsidRDefault="00776B6F" w:rsidP="00776B6F">
            <w:pPr>
              <w:spacing w:after="0" w:line="240" w:lineRule="auto"/>
              <w:jc w:val="right"/>
              <w:rPr>
                <w:rFonts w:ascii="Arial" w:eastAsia="Times New Roman" w:hAnsi="Arial" w:cs="Arial"/>
                <w:sz w:val="16"/>
                <w:szCs w:val="16"/>
                <w:lang w:eastAsia="fr-FR"/>
              </w:rPr>
            </w:pPr>
            <w:r w:rsidRPr="00776B6F">
              <w:rPr>
                <w:rFonts w:ascii="Arial" w:eastAsia="Times New Roman" w:hAnsi="Arial" w:cs="Arial"/>
                <w:sz w:val="16"/>
                <w:szCs w:val="16"/>
                <w:lang w:eastAsia="fr-FR"/>
              </w:rPr>
              <w:t>25,2%</w:t>
            </w:r>
          </w:p>
        </w:tc>
      </w:tr>
      <w:tr w:rsidR="00B24460" w:rsidRPr="00776B6F" w14:paraId="1E8D3623" w14:textId="77777777" w:rsidTr="0085523C">
        <w:trPr>
          <w:trHeight w:val="340"/>
        </w:trPr>
        <w:tc>
          <w:tcPr>
            <w:tcW w:w="31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B3FC9D" w14:textId="77777777" w:rsidR="00776B6F" w:rsidRPr="00776B6F" w:rsidRDefault="00776B6F" w:rsidP="00776B6F">
            <w:pPr>
              <w:spacing w:after="0" w:line="240" w:lineRule="auto"/>
              <w:rPr>
                <w:rFonts w:ascii="Arial" w:eastAsia="Times New Roman" w:hAnsi="Arial" w:cs="Arial"/>
                <w:b/>
                <w:bCs/>
                <w:sz w:val="16"/>
                <w:szCs w:val="16"/>
                <w:lang w:eastAsia="fr-FR"/>
              </w:rPr>
            </w:pPr>
            <w:r w:rsidRPr="00776B6F">
              <w:rPr>
                <w:rFonts w:ascii="Arial" w:eastAsia="Times New Roman" w:hAnsi="Arial" w:cs="Arial"/>
                <w:b/>
                <w:bCs/>
                <w:sz w:val="16"/>
                <w:szCs w:val="16"/>
                <w:lang w:eastAsia="fr-FR"/>
              </w:rPr>
              <w:t xml:space="preserve">Gross </w:t>
            </w:r>
            <w:proofErr w:type="spellStart"/>
            <w:r w:rsidRPr="00776B6F">
              <w:rPr>
                <w:rFonts w:ascii="Arial" w:eastAsia="Times New Roman" w:hAnsi="Arial" w:cs="Arial"/>
                <w:b/>
                <w:bCs/>
                <w:sz w:val="16"/>
                <w:szCs w:val="16"/>
                <w:lang w:eastAsia="fr-FR"/>
              </w:rPr>
              <w:t>margin</w:t>
            </w:r>
            <w:proofErr w:type="spellEnd"/>
            <w:r w:rsidRPr="00776B6F">
              <w:rPr>
                <w:rFonts w:ascii="Arial" w:eastAsia="Times New Roman" w:hAnsi="Arial" w:cs="Arial"/>
                <w:b/>
                <w:bCs/>
                <w:sz w:val="16"/>
                <w:szCs w:val="16"/>
                <w:lang w:eastAsia="fr-FR"/>
              </w:rPr>
              <w:t xml:space="preserve"> rate </w:t>
            </w:r>
          </w:p>
        </w:tc>
        <w:tc>
          <w:tcPr>
            <w:tcW w:w="837" w:type="dxa"/>
            <w:tcBorders>
              <w:top w:val="nil"/>
              <w:left w:val="nil"/>
              <w:bottom w:val="nil"/>
              <w:right w:val="nil"/>
            </w:tcBorders>
            <w:shd w:val="clear" w:color="000000" w:fill="FFFFFF"/>
            <w:noWrap/>
            <w:vAlign w:val="bottom"/>
            <w:hideMark/>
          </w:tcPr>
          <w:p w14:paraId="1BEEE768" w14:textId="77777777" w:rsidR="00776B6F" w:rsidRPr="00776B6F" w:rsidRDefault="00776B6F" w:rsidP="00776B6F">
            <w:pPr>
              <w:spacing w:after="0" w:line="240" w:lineRule="auto"/>
              <w:rPr>
                <w:rFonts w:ascii="Arial" w:eastAsia="Times New Roman" w:hAnsi="Arial" w:cs="Arial"/>
                <w:b/>
                <w:bCs/>
                <w:sz w:val="16"/>
                <w:szCs w:val="16"/>
                <w:lang w:eastAsia="fr-FR"/>
              </w:rPr>
            </w:pPr>
          </w:p>
        </w:tc>
        <w:tc>
          <w:tcPr>
            <w:tcW w:w="132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30487D" w14:textId="77777777" w:rsidR="00776B6F" w:rsidRPr="00776B6F" w:rsidRDefault="00776B6F" w:rsidP="00776B6F">
            <w:pPr>
              <w:spacing w:after="0" w:line="240" w:lineRule="auto"/>
              <w:jc w:val="right"/>
              <w:rPr>
                <w:rFonts w:ascii="Arial" w:eastAsia="Times New Roman" w:hAnsi="Arial" w:cs="Arial"/>
                <w:b/>
                <w:bCs/>
                <w:sz w:val="16"/>
                <w:szCs w:val="16"/>
                <w:lang w:eastAsia="fr-FR"/>
              </w:rPr>
            </w:pPr>
            <w:r w:rsidRPr="00776B6F">
              <w:rPr>
                <w:rFonts w:ascii="Arial" w:eastAsia="Times New Roman" w:hAnsi="Arial" w:cs="Arial"/>
                <w:b/>
                <w:bCs/>
                <w:sz w:val="16"/>
                <w:szCs w:val="16"/>
                <w:lang w:eastAsia="fr-FR"/>
              </w:rPr>
              <w:t>44 556 797</w:t>
            </w:r>
          </w:p>
        </w:tc>
        <w:tc>
          <w:tcPr>
            <w:tcW w:w="216" w:type="dxa"/>
            <w:tcBorders>
              <w:top w:val="nil"/>
              <w:left w:val="nil"/>
              <w:bottom w:val="nil"/>
              <w:right w:val="nil"/>
            </w:tcBorders>
            <w:shd w:val="clear" w:color="000000" w:fill="FFFFFF"/>
            <w:noWrap/>
            <w:vAlign w:val="bottom"/>
            <w:hideMark/>
          </w:tcPr>
          <w:p w14:paraId="5259B6BB" w14:textId="77777777" w:rsidR="00776B6F" w:rsidRPr="00776B6F" w:rsidRDefault="00776B6F" w:rsidP="00776B6F">
            <w:pPr>
              <w:spacing w:after="0" w:line="240" w:lineRule="auto"/>
              <w:jc w:val="right"/>
              <w:rPr>
                <w:rFonts w:ascii="Arial" w:eastAsia="Times New Roman" w:hAnsi="Arial" w:cs="Arial"/>
                <w:b/>
                <w:bCs/>
                <w:sz w:val="16"/>
                <w:szCs w:val="16"/>
                <w:lang w:eastAsia="fr-FR"/>
              </w:rPr>
            </w:pPr>
          </w:p>
        </w:tc>
        <w:tc>
          <w:tcPr>
            <w:tcW w:w="141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C3FD2C" w14:textId="77777777" w:rsidR="00776B6F" w:rsidRPr="00776B6F" w:rsidRDefault="00776B6F" w:rsidP="00776B6F">
            <w:pPr>
              <w:spacing w:after="0" w:line="240" w:lineRule="auto"/>
              <w:jc w:val="right"/>
              <w:rPr>
                <w:rFonts w:ascii="Arial" w:eastAsia="Times New Roman" w:hAnsi="Arial" w:cs="Arial"/>
                <w:b/>
                <w:bCs/>
                <w:sz w:val="16"/>
                <w:szCs w:val="16"/>
                <w:lang w:eastAsia="fr-FR"/>
              </w:rPr>
            </w:pPr>
            <w:r w:rsidRPr="00776B6F">
              <w:rPr>
                <w:rFonts w:ascii="Arial" w:eastAsia="Times New Roman" w:hAnsi="Arial" w:cs="Arial"/>
                <w:b/>
                <w:bCs/>
                <w:sz w:val="16"/>
                <w:szCs w:val="16"/>
                <w:lang w:eastAsia="fr-FR"/>
              </w:rPr>
              <w:t>35 086 442</w:t>
            </w:r>
          </w:p>
        </w:tc>
        <w:tc>
          <w:tcPr>
            <w:tcW w:w="216" w:type="dxa"/>
            <w:tcBorders>
              <w:top w:val="nil"/>
              <w:left w:val="nil"/>
              <w:bottom w:val="nil"/>
              <w:right w:val="nil"/>
            </w:tcBorders>
            <w:shd w:val="clear" w:color="000000" w:fill="FFFFFF"/>
            <w:noWrap/>
            <w:vAlign w:val="bottom"/>
            <w:hideMark/>
          </w:tcPr>
          <w:p w14:paraId="37D467A3" w14:textId="77777777" w:rsidR="00776B6F" w:rsidRPr="00776B6F" w:rsidRDefault="00776B6F" w:rsidP="00776B6F">
            <w:pPr>
              <w:spacing w:after="0" w:line="240" w:lineRule="auto"/>
              <w:jc w:val="right"/>
              <w:rPr>
                <w:rFonts w:ascii="Arial" w:eastAsia="Times New Roman" w:hAnsi="Arial" w:cs="Arial"/>
                <w:b/>
                <w:bCs/>
                <w:sz w:val="16"/>
                <w:szCs w:val="16"/>
                <w:lang w:eastAsia="fr-FR"/>
              </w:rPr>
            </w:pPr>
          </w:p>
        </w:tc>
        <w:tc>
          <w:tcPr>
            <w:tcW w:w="141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98AC35" w14:textId="77777777" w:rsidR="00776B6F" w:rsidRPr="00776B6F" w:rsidRDefault="00776B6F" w:rsidP="00776B6F">
            <w:pPr>
              <w:spacing w:after="0" w:line="240" w:lineRule="auto"/>
              <w:jc w:val="right"/>
              <w:rPr>
                <w:rFonts w:ascii="Arial" w:eastAsia="Times New Roman" w:hAnsi="Arial" w:cs="Arial"/>
                <w:b/>
                <w:bCs/>
                <w:sz w:val="16"/>
                <w:szCs w:val="16"/>
                <w:lang w:eastAsia="fr-FR"/>
              </w:rPr>
            </w:pPr>
            <w:r w:rsidRPr="00776B6F">
              <w:rPr>
                <w:rFonts w:ascii="Arial" w:eastAsia="Times New Roman" w:hAnsi="Arial" w:cs="Arial"/>
                <w:b/>
                <w:bCs/>
                <w:sz w:val="16"/>
                <w:szCs w:val="16"/>
                <w:lang w:eastAsia="fr-FR"/>
              </w:rPr>
              <w:t>9 470 355</w:t>
            </w:r>
          </w:p>
        </w:tc>
        <w:tc>
          <w:tcPr>
            <w:tcW w:w="216" w:type="dxa"/>
            <w:tcBorders>
              <w:top w:val="nil"/>
              <w:left w:val="nil"/>
              <w:bottom w:val="nil"/>
              <w:right w:val="nil"/>
            </w:tcBorders>
            <w:shd w:val="clear" w:color="000000" w:fill="FFFFFF"/>
            <w:noWrap/>
            <w:vAlign w:val="bottom"/>
            <w:hideMark/>
          </w:tcPr>
          <w:p w14:paraId="7E135ED7" w14:textId="77777777" w:rsidR="00776B6F" w:rsidRPr="00776B6F" w:rsidRDefault="00776B6F" w:rsidP="00776B6F">
            <w:pPr>
              <w:spacing w:after="0" w:line="240" w:lineRule="auto"/>
              <w:jc w:val="right"/>
              <w:rPr>
                <w:rFonts w:ascii="Arial" w:eastAsia="Times New Roman" w:hAnsi="Arial" w:cs="Arial"/>
                <w:b/>
                <w:bCs/>
                <w:sz w:val="16"/>
                <w:szCs w:val="16"/>
                <w:lang w:eastAsia="fr-FR"/>
              </w:rPr>
            </w:pPr>
          </w:p>
        </w:tc>
        <w:tc>
          <w:tcPr>
            <w:tcW w:w="149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2A6C65" w14:textId="77777777" w:rsidR="00776B6F" w:rsidRPr="00776B6F" w:rsidRDefault="00776B6F" w:rsidP="00776B6F">
            <w:pPr>
              <w:spacing w:after="0" w:line="240" w:lineRule="auto"/>
              <w:jc w:val="right"/>
              <w:rPr>
                <w:rFonts w:ascii="Arial" w:eastAsia="Times New Roman" w:hAnsi="Arial" w:cs="Arial"/>
                <w:b/>
                <w:bCs/>
                <w:sz w:val="16"/>
                <w:szCs w:val="16"/>
                <w:lang w:eastAsia="fr-FR"/>
              </w:rPr>
            </w:pPr>
            <w:r w:rsidRPr="00776B6F">
              <w:rPr>
                <w:rFonts w:ascii="Arial" w:eastAsia="Times New Roman" w:hAnsi="Arial" w:cs="Arial"/>
                <w:b/>
                <w:bCs/>
                <w:sz w:val="16"/>
                <w:szCs w:val="16"/>
                <w:lang w:eastAsia="fr-FR"/>
              </w:rPr>
              <w:t>27,0%</w:t>
            </w:r>
          </w:p>
        </w:tc>
      </w:tr>
      <w:tr w:rsidR="00B24460" w:rsidRPr="00776B6F" w14:paraId="538D726C" w14:textId="77777777" w:rsidTr="0085523C">
        <w:trPr>
          <w:trHeight w:val="340"/>
        </w:trPr>
        <w:tc>
          <w:tcPr>
            <w:tcW w:w="31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628F38" w14:textId="77777777" w:rsidR="00776B6F" w:rsidRPr="00776B6F" w:rsidRDefault="00776B6F" w:rsidP="00776B6F">
            <w:pPr>
              <w:spacing w:after="0" w:line="240" w:lineRule="auto"/>
              <w:rPr>
                <w:rFonts w:ascii="Arial" w:eastAsia="Times New Roman" w:hAnsi="Arial" w:cs="Arial"/>
                <w:b/>
                <w:bCs/>
                <w:sz w:val="16"/>
                <w:szCs w:val="16"/>
                <w:lang w:eastAsia="fr-FR"/>
              </w:rPr>
            </w:pPr>
            <w:r w:rsidRPr="00776B6F">
              <w:rPr>
                <w:rFonts w:ascii="Arial" w:eastAsia="Times New Roman" w:hAnsi="Arial" w:cs="Arial"/>
                <w:b/>
                <w:bCs/>
                <w:sz w:val="16"/>
                <w:szCs w:val="16"/>
                <w:lang w:eastAsia="fr-FR"/>
              </w:rPr>
              <w:t xml:space="preserve">Gross </w:t>
            </w:r>
            <w:proofErr w:type="spellStart"/>
            <w:r w:rsidRPr="00776B6F">
              <w:rPr>
                <w:rFonts w:ascii="Arial" w:eastAsia="Times New Roman" w:hAnsi="Arial" w:cs="Arial"/>
                <w:b/>
                <w:bCs/>
                <w:sz w:val="16"/>
                <w:szCs w:val="16"/>
                <w:lang w:eastAsia="fr-FR"/>
              </w:rPr>
              <w:t>margin</w:t>
            </w:r>
            <w:proofErr w:type="spellEnd"/>
            <w:r w:rsidRPr="00776B6F">
              <w:rPr>
                <w:rFonts w:ascii="Arial" w:eastAsia="Times New Roman" w:hAnsi="Arial" w:cs="Arial"/>
                <w:b/>
                <w:bCs/>
                <w:sz w:val="16"/>
                <w:szCs w:val="16"/>
                <w:lang w:eastAsia="fr-FR"/>
              </w:rPr>
              <w:t xml:space="preserve"> rate </w:t>
            </w:r>
          </w:p>
        </w:tc>
        <w:tc>
          <w:tcPr>
            <w:tcW w:w="837" w:type="dxa"/>
            <w:tcBorders>
              <w:top w:val="nil"/>
              <w:left w:val="nil"/>
              <w:bottom w:val="nil"/>
              <w:right w:val="nil"/>
            </w:tcBorders>
            <w:shd w:val="clear" w:color="000000" w:fill="FFFFFF"/>
            <w:noWrap/>
            <w:vAlign w:val="bottom"/>
            <w:hideMark/>
          </w:tcPr>
          <w:p w14:paraId="221D1B28" w14:textId="77777777" w:rsidR="00776B6F" w:rsidRPr="00776B6F" w:rsidRDefault="00776B6F" w:rsidP="00776B6F">
            <w:pPr>
              <w:spacing w:after="0" w:line="240" w:lineRule="auto"/>
              <w:rPr>
                <w:rFonts w:ascii="Arial" w:eastAsia="Times New Roman" w:hAnsi="Arial" w:cs="Arial"/>
                <w:b/>
                <w:bCs/>
                <w:sz w:val="16"/>
                <w:szCs w:val="16"/>
                <w:lang w:eastAsia="fr-FR"/>
              </w:rPr>
            </w:pPr>
          </w:p>
        </w:tc>
        <w:tc>
          <w:tcPr>
            <w:tcW w:w="132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A78FC4" w14:textId="77777777" w:rsidR="00776B6F" w:rsidRPr="00776B6F" w:rsidRDefault="00776B6F" w:rsidP="00776B6F">
            <w:pPr>
              <w:spacing w:after="0" w:line="240" w:lineRule="auto"/>
              <w:jc w:val="right"/>
              <w:rPr>
                <w:rFonts w:ascii="Arial" w:eastAsia="Times New Roman" w:hAnsi="Arial" w:cs="Arial"/>
                <w:b/>
                <w:bCs/>
                <w:sz w:val="16"/>
                <w:szCs w:val="16"/>
                <w:lang w:eastAsia="fr-FR"/>
              </w:rPr>
            </w:pPr>
            <w:r w:rsidRPr="00776B6F">
              <w:rPr>
                <w:rFonts w:ascii="Arial" w:eastAsia="Times New Roman" w:hAnsi="Arial" w:cs="Arial"/>
                <w:b/>
                <w:bCs/>
                <w:sz w:val="16"/>
                <w:szCs w:val="16"/>
                <w:lang w:eastAsia="fr-FR"/>
              </w:rPr>
              <w:t>60,2%</w:t>
            </w:r>
          </w:p>
        </w:tc>
        <w:tc>
          <w:tcPr>
            <w:tcW w:w="216" w:type="dxa"/>
            <w:tcBorders>
              <w:top w:val="nil"/>
              <w:left w:val="nil"/>
              <w:bottom w:val="nil"/>
              <w:right w:val="nil"/>
            </w:tcBorders>
            <w:shd w:val="clear" w:color="000000" w:fill="FFFFFF"/>
            <w:noWrap/>
            <w:vAlign w:val="bottom"/>
            <w:hideMark/>
          </w:tcPr>
          <w:p w14:paraId="244341EC" w14:textId="77777777" w:rsidR="00776B6F" w:rsidRPr="00776B6F" w:rsidRDefault="00776B6F" w:rsidP="00776B6F">
            <w:pPr>
              <w:spacing w:after="0" w:line="240" w:lineRule="auto"/>
              <w:jc w:val="right"/>
              <w:rPr>
                <w:rFonts w:ascii="Arial" w:eastAsia="Times New Roman" w:hAnsi="Arial" w:cs="Arial"/>
                <w:b/>
                <w:bCs/>
                <w:sz w:val="16"/>
                <w:szCs w:val="16"/>
                <w:lang w:eastAsia="fr-FR"/>
              </w:rPr>
            </w:pPr>
          </w:p>
        </w:tc>
        <w:tc>
          <w:tcPr>
            <w:tcW w:w="141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44CDE8" w14:textId="77777777" w:rsidR="00776B6F" w:rsidRPr="00776B6F" w:rsidRDefault="00776B6F" w:rsidP="00776B6F">
            <w:pPr>
              <w:spacing w:after="0" w:line="240" w:lineRule="auto"/>
              <w:jc w:val="right"/>
              <w:rPr>
                <w:rFonts w:ascii="Arial" w:eastAsia="Times New Roman" w:hAnsi="Arial" w:cs="Arial"/>
                <w:b/>
                <w:bCs/>
                <w:sz w:val="16"/>
                <w:szCs w:val="16"/>
                <w:lang w:eastAsia="fr-FR"/>
              </w:rPr>
            </w:pPr>
            <w:r w:rsidRPr="00776B6F">
              <w:rPr>
                <w:rFonts w:ascii="Arial" w:eastAsia="Times New Roman" w:hAnsi="Arial" w:cs="Arial"/>
                <w:b/>
                <w:bCs/>
                <w:sz w:val="16"/>
                <w:szCs w:val="16"/>
                <w:lang w:eastAsia="fr-FR"/>
              </w:rPr>
              <w:t>59,9%</w:t>
            </w:r>
          </w:p>
        </w:tc>
        <w:tc>
          <w:tcPr>
            <w:tcW w:w="216" w:type="dxa"/>
            <w:tcBorders>
              <w:top w:val="nil"/>
              <w:left w:val="nil"/>
              <w:bottom w:val="nil"/>
              <w:right w:val="nil"/>
            </w:tcBorders>
            <w:shd w:val="clear" w:color="000000" w:fill="FFFFFF"/>
            <w:noWrap/>
            <w:vAlign w:val="bottom"/>
            <w:hideMark/>
          </w:tcPr>
          <w:p w14:paraId="419C0896" w14:textId="77777777" w:rsidR="00776B6F" w:rsidRPr="00776B6F" w:rsidRDefault="00776B6F" w:rsidP="00776B6F">
            <w:pPr>
              <w:spacing w:after="0" w:line="240" w:lineRule="auto"/>
              <w:jc w:val="right"/>
              <w:rPr>
                <w:rFonts w:ascii="Arial" w:eastAsia="Times New Roman" w:hAnsi="Arial" w:cs="Arial"/>
                <w:b/>
                <w:bCs/>
                <w:sz w:val="16"/>
                <w:szCs w:val="16"/>
                <w:lang w:eastAsia="fr-FR"/>
              </w:rPr>
            </w:pPr>
          </w:p>
        </w:tc>
        <w:tc>
          <w:tcPr>
            <w:tcW w:w="141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022B07" w14:textId="77777777" w:rsidR="00776B6F" w:rsidRPr="00776B6F" w:rsidRDefault="00776B6F" w:rsidP="00776B6F">
            <w:pPr>
              <w:spacing w:after="0" w:line="240" w:lineRule="auto"/>
              <w:rPr>
                <w:rFonts w:ascii="Times New Roman" w:eastAsia="Times New Roman" w:hAnsi="Times New Roman"/>
                <w:sz w:val="16"/>
                <w:szCs w:val="16"/>
                <w:lang w:eastAsia="fr-FR"/>
              </w:rPr>
            </w:pPr>
          </w:p>
        </w:tc>
        <w:tc>
          <w:tcPr>
            <w:tcW w:w="216" w:type="dxa"/>
            <w:tcBorders>
              <w:top w:val="nil"/>
              <w:left w:val="nil"/>
              <w:bottom w:val="nil"/>
              <w:right w:val="nil"/>
            </w:tcBorders>
            <w:shd w:val="clear" w:color="000000" w:fill="FFFFFF"/>
            <w:noWrap/>
            <w:vAlign w:val="bottom"/>
            <w:hideMark/>
          </w:tcPr>
          <w:p w14:paraId="6039586C" w14:textId="77777777" w:rsidR="00776B6F" w:rsidRPr="00776B6F" w:rsidRDefault="00776B6F" w:rsidP="00776B6F">
            <w:pPr>
              <w:spacing w:after="0" w:line="240" w:lineRule="auto"/>
              <w:rPr>
                <w:rFonts w:ascii="Times New Roman" w:eastAsia="Times New Roman" w:hAnsi="Times New Roman"/>
                <w:sz w:val="16"/>
                <w:szCs w:val="16"/>
                <w:lang w:eastAsia="fr-FR"/>
              </w:rPr>
            </w:pPr>
          </w:p>
        </w:tc>
        <w:tc>
          <w:tcPr>
            <w:tcW w:w="149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021FDF" w14:textId="77777777" w:rsidR="00776B6F" w:rsidRPr="00776B6F" w:rsidRDefault="00776B6F" w:rsidP="00776B6F">
            <w:pPr>
              <w:spacing w:after="0" w:line="240" w:lineRule="auto"/>
              <w:jc w:val="right"/>
              <w:rPr>
                <w:rFonts w:ascii="Arial" w:eastAsia="Times New Roman" w:hAnsi="Arial" w:cs="Arial"/>
                <w:b/>
                <w:bCs/>
                <w:sz w:val="16"/>
                <w:szCs w:val="16"/>
                <w:lang w:eastAsia="fr-FR"/>
              </w:rPr>
            </w:pPr>
            <w:r w:rsidRPr="00776B6F">
              <w:rPr>
                <w:rFonts w:ascii="Arial" w:eastAsia="Times New Roman" w:hAnsi="Arial" w:cs="Arial"/>
                <w:b/>
                <w:bCs/>
                <w:sz w:val="16"/>
                <w:szCs w:val="16"/>
                <w:lang w:eastAsia="fr-FR"/>
              </w:rPr>
              <w:t>0,6%</w:t>
            </w:r>
          </w:p>
        </w:tc>
      </w:tr>
      <w:tr w:rsidR="00B24460" w:rsidRPr="00776B6F" w14:paraId="78C62E6A" w14:textId="77777777" w:rsidTr="0085523C">
        <w:trPr>
          <w:trHeight w:val="340"/>
        </w:trPr>
        <w:tc>
          <w:tcPr>
            <w:tcW w:w="3166" w:type="dxa"/>
            <w:tcBorders>
              <w:top w:val="nil"/>
              <w:left w:val="single" w:sz="4" w:space="0" w:color="auto"/>
              <w:bottom w:val="nil"/>
              <w:right w:val="single" w:sz="4" w:space="0" w:color="auto"/>
            </w:tcBorders>
            <w:shd w:val="clear" w:color="000000" w:fill="FFFFFF"/>
            <w:noWrap/>
            <w:vAlign w:val="bottom"/>
            <w:hideMark/>
          </w:tcPr>
          <w:p w14:paraId="746B6CDA" w14:textId="77777777" w:rsidR="00776B6F" w:rsidRPr="00776B6F" w:rsidRDefault="00776B6F" w:rsidP="00776B6F">
            <w:pPr>
              <w:spacing w:after="0" w:line="240" w:lineRule="auto"/>
              <w:rPr>
                <w:rFonts w:ascii="Arial" w:eastAsia="Times New Roman" w:hAnsi="Arial" w:cs="Arial"/>
                <w:sz w:val="16"/>
                <w:szCs w:val="16"/>
                <w:lang w:eastAsia="fr-FR"/>
              </w:rPr>
            </w:pPr>
            <w:r w:rsidRPr="00776B6F">
              <w:rPr>
                <w:rFonts w:ascii="Arial" w:eastAsia="Times New Roman" w:hAnsi="Arial" w:cs="Arial"/>
                <w:sz w:val="16"/>
                <w:szCs w:val="16"/>
                <w:lang w:eastAsia="fr-FR"/>
              </w:rPr>
              <w:t xml:space="preserve">Net </w:t>
            </w:r>
            <w:proofErr w:type="spellStart"/>
            <w:r w:rsidRPr="00776B6F">
              <w:rPr>
                <w:rFonts w:ascii="Arial" w:eastAsia="Times New Roman" w:hAnsi="Arial" w:cs="Arial"/>
                <w:sz w:val="16"/>
                <w:szCs w:val="16"/>
                <w:lang w:eastAsia="fr-FR"/>
              </w:rPr>
              <w:t>foreign</w:t>
            </w:r>
            <w:proofErr w:type="spellEnd"/>
            <w:r w:rsidRPr="00776B6F">
              <w:rPr>
                <w:rFonts w:ascii="Arial" w:eastAsia="Times New Roman" w:hAnsi="Arial" w:cs="Arial"/>
                <w:sz w:val="16"/>
                <w:szCs w:val="16"/>
                <w:lang w:eastAsia="fr-FR"/>
              </w:rPr>
              <w:t xml:space="preserve"> exchange impact </w:t>
            </w:r>
          </w:p>
        </w:tc>
        <w:tc>
          <w:tcPr>
            <w:tcW w:w="837" w:type="dxa"/>
            <w:tcBorders>
              <w:top w:val="nil"/>
              <w:left w:val="nil"/>
              <w:bottom w:val="nil"/>
              <w:right w:val="nil"/>
            </w:tcBorders>
            <w:shd w:val="clear" w:color="000000" w:fill="FFFFFF"/>
            <w:noWrap/>
            <w:vAlign w:val="bottom"/>
            <w:hideMark/>
          </w:tcPr>
          <w:p w14:paraId="583BDC4F" w14:textId="77777777" w:rsidR="00776B6F" w:rsidRPr="00776B6F" w:rsidRDefault="00776B6F" w:rsidP="00776B6F">
            <w:pPr>
              <w:spacing w:after="0" w:line="240" w:lineRule="auto"/>
              <w:jc w:val="center"/>
              <w:rPr>
                <w:rFonts w:ascii="Arial" w:eastAsia="Times New Roman" w:hAnsi="Arial" w:cs="Arial"/>
                <w:color w:val="FFFFFF"/>
                <w:sz w:val="16"/>
                <w:szCs w:val="16"/>
                <w:lang w:eastAsia="fr-FR"/>
              </w:rPr>
            </w:pPr>
            <w:r w:rsidRPr="00776B6F">
              <w:rPr>
                <w:rFonts w:ascii="Arial" w:eastAsia="Times New Roman" w:hAnsi="Arial" w:cs="Arial"/>
                <w:color w:val="FFFFFF"/>
                <w:sz w:val="16"/>
                <w:szCs w:val="16"/>
                <w:lang w:eastAsia="fr-FR"/>
              </w:rPr>
              <w:t>22</w:t>
            </w:r>
          </w:p>
        </w:tc>
        <w:tc>
          <w:tcPr>
            <w:tcW w:w="1320" w:type="dxa"/>
            <w:tcBorders>
              <w:top w:val="nil"/>
              <w:left w:val="single" w:sz="4" w:space="0" w:color="auto"/>
              <w:bottom w:val="nil"/>
              <w:right w:val="single" w:sz="4" w:space="0" w:color="auto"/>
            </w:tcBorders>
            <w:shd w:val="clear" w:color="000000" w:fill="FFFFFF"/>
            <w:noWrap/>
            <w:vAlign w:val="bottom"/>
            <w:hideMark/>
          </w:tcPr>
          <w:p w14:paraId="0B7F98F2" w14:textId="77777777" w:rsidR="00776B6F" w:rsidRPr="00776B6F" w:rsidRDefault="00776B6F" w:rsidP="00776B6F">
            <w:pPr>
              <w:spacing w:after="0" w:line="240" w:lineRule="auto"/>
              <w:jc w:val="right"/>
              <w:rPr>
                <w:rFonts w:ascii="Arial" w:eastAsia="Times New Roman" w:hAnsi="Arial" w:cs="Arial"/>
                <w:sz w:val="16"/>
                <w:szCs w:val="16"/>
                <w:lang w:eastAsia="fr-FR"/>
              </w:rPr>
            </w:pPr>
            <w:r w:rsidRPr="00776B6F">
              <w:rPr>
                <w:rFonts w:ascii="Arial" w:eastAsia="Times New Roman" w:hAnsi="Arial" w:cs="Arial"/>
                <w:sz w:val="16"/>
                <w:szCs w:val="16"/>
                <w:lang w:eastAsia="fr-FR"/>
              </w:rPr>
              <w:t>504 441</w:t>
            </w:r>
          </w:p>
        </w:tc>
        <w:tc>
          <w:tcPr>
            <w:tcW w:w="216" w:type="dxa"/>
            <w:tcBorders>
              <w:top w:val="nil"/>
              <w:left w:val="nil"/>
              <w:bottom w:val="nil"/>
              <w:right w:val="nil"/>
            </w:tcBorders>
            <w:shd w:val="clear" w:color="000000" w:fill="FFFFFF"/>
            <w:noWrap/>
            <w:vAlign w:val="bottom"/>
            <w:hideMark/>
          </w:tcPr>
          <w:p w14:paraId="391B3203" w14:textId="77777777" w:rsidR="00776B6F" w:rsidRPr="00776B6F" w:rsidRDefault="00776B6F" w:rsidP="00776B6F">
            <w:pPr>
              <w:spacing w:after="0" w:line="240" w:lineRule="auto"/>
              <w:jc w:val="right"/>
              <w:rPr>
                <w:rFonts w:ascii="Arial" w:eastAsia="Times New Roman" w:hAnsi="Arial" w:cs="Arial"/>
                <w:sz w:val="16"/>
                <w:szCs w:val="16"/>
                <w:lang w:eastAsia="fr-FR"/>
              </w:rPr>
            </w:pPr>
          </w:p>
        </w:tc>
        <w:tc>
          <w:tcPr>
            <w:tcW w:w="1419" w:type="dxa"/>
            <w:tcBorders>
              <w:top w:val="nil"/>
              <w:left w:val="single" w:sz="4" w:space="0" w:color="auto"/>
              <w:bottom w:val="nil"/>
              <w:right w:val="single" w:sz="4" w:space="0" w:color="auto"/>
            </w:tcBorders>
            <w:shd w:val="clear" w:color="000000" w:fill="FFFFFF"/>
            <w:noWrap/>
            <w:vAlign w:val="bottom"/>
            <w:hideMark/>
          </w:tcPr>
          <w:p w14:paraId="635A7C79" w14:textId="77777777" w:rsidR="00776B6F" w:rsidRPr="00776B6F" w:rsidRDefault="00776B6F" w:rsidP="00776B6F">
            <w:pPr>
              <w:spacing w:after="0" w:line="240" w:lineRule="auto"/>
              <w:jc w:val="right"/>
              <w:rPr>
                <w:rFonts w:ascii="Arial" w:eastAsia="Times New Roman" w:hAnsi="Arial" w:cs="Arial"/>
                <w:sz w:val="16"/>
                <w:szCs w:val="16"/>
                <w:lang w:eastAsia="fr-FR"/>
              </w:rPr>
            </w:pPr>
            <w:r w:rsidRPr="00776B6F">
              <w:rPr>
                <w:rFonts w:ascii="Arial" w:eastAsia="Times New Roman" w:hAnsi="Arial" w:cs="Arial"/>
                <w:sz w:val="16"/>
                <w:szCs w:val="16"/>
                <w:lang w:eastAsia="fr-FR"/>
              </w:rPr>
              <w:t>331 147</w:t>
            </w:r>
          </w:p>
        </w:tc>
        <w:tc>
          <w:tcPr>
            <w:tcW w:w="216" w:type="dxa"/>
            <w:tcBorders>
              <w:top w:val="nil"/>
              <w:left w:val="nil"/>
              <w:bottom w:val="nil"/>
              <w:right w:val="nil"/>
            </w:tcBorders>
            <w:shd w:val="clear" w:color="000000" w:fill="FFFFFF"/>
            <w:noWrap/>
            <w:vAlign w:val="bottom"/>
            <w:hideMark/>
          </w:tcPr>
          <w:p w14:paraId="21661091" w14:textId="77777777" w:rsidR="00776B6F" w:rsidRPr="00776B6F" w:rsidRDefault="00776B6F" w:rsidP="00776B6F">
            <w:pPr>
              <w:spacing w:after="0" w:line="240" w:lineRule="auto"/>
              <w:jc w:val="right"/>
              <w:rPr>
                <w:rFonts w:ascii="Arial" w:eastAsia="Times New Roman" w:hAnsi="Arial" w:cs="Arial"/>
                <w:sz w:val="16"/>
                <w:szCs w:val="16"/>
                <w:lang w:eastAsia="fr-FR"/>
              </w:rPr>
            </w:pPr>
          </w:p>
        </w:tc>
        <w:tc>
          <w:tcPr>
            <w:tcW w:w="1419" w:type="dxa"/>
            <w:tcBorders>
              <w:top w:val="nil"/>
              <w:left w:val="single" w:sz="4" w:space="0" w:color="auto"/>
              <w:bottom w:val="nil"/>
              <w:right w:val="single" w:sz="4" w:space="0" w:color="auto"/>
            </w:tcBorders>
            <w:shd w:val="clear" w:color="000000" w:fill="FFFFFF"/>
            <w:noWrap/>
            <w:vAlign w:val="bottom"/>
            <w:hideMark/>
          </w:tcPr>
          <w:p w14:paraId="63963FA6" w14:textId="77777777" w:rsidR="00776B6F" w:rsidRPr="00776B6F" w:rsidRDefault="00776B6F" w:rsidP="00776B6F">
            <w:pPr>
              <w:spacing w:after="0" w:line="240" w:lineRule="auto"/>
              <w:jc w:val="right"/>
              <w:rPr>
                <w:rFonts w:ascii="Arial" w:eastAsia="Times New Roman" w:hAnsi="Arial" w:cs="Arial"/>
                <w:sz w:val="16"/>
                <w:szCs w:val="16"/>
                <w:lang w:eastAsia="fr-FR"/>
              </w:rPr>
            </w:pPr>
            <w:r w:rsidRPr="00776B6F">
              <w:rPr>
                <w:rFonts w:ascii="Arial" w:eastAsia="Times New Roman" w:hAnsi="Arial" w:cs="Arial"/>
                <w:sz w:val="16"/>
                <w:szCs w:val="16"/>
                <w:lang w:eastAsia="fr-FR"/>
              </w:rPr>
              <w:t>173 294</w:t>
            </w:r>
          </w:p>
        </w:tc>
        <w:tc>
          <w:tcPr>
            <w:tcW w:w="216" w:type="dxa"/>
            <w:tcBorders>
              <w:top w:val="nil"/>
              <w:left w:val="nil"/>
              <w:bottom w:val="nil"/>
              <w:right w:val="nil"/>
            </w:tcBorders>
            <w:shd w:val="clear" w:color="000000" w:fill="FFFFFF"/>
            <w:noWrap/>
            <w:vAlign w:val="bottom"/>
            <w:hideMark/>
          </w:tcPr>
          <w:p w14:paraId="1614AD42" w14:textId="77777777" w:rsidR="00776B6F" w:rsidRPr="00776B6F" w:rsidRDefault="00776B6F" w:rsidP="00776B6F">
            <w:pPr>
              <w:spacing w:after="0" w:line="240" w:lineRule="auto"/>
              <w:jc w:val="right"/>
              <w:rPr>
                <w:rFonts w:ascii="Arial" w:eastAsia="Times New Roman" w:hAnsi="Arial" w:cs="Arial"/>
                <w:sz w:val="16"/>
                <w:szCs w:val="16"/>
                <w:lang w:eastAsia="fr-FR"/>
              </w:rPr>
            </w:pPr>
          </w:p>
        </w:tc>
        <w:tc>
          <w:tcPr>
            <w:tcW w:w="1491" w:type="dxa"/>
            <w:tcBorders>
              <w:top w:val="nil"/>
              <w:left w:val="single" w:sz="4" w:space="0" w:color="auto"/>
              <w:bottom w:val="nil"/>
              <w:right w:val="single" w:sz="4" w:space="0" w:color="auto"/>
            </w:tcBorders>
            <w:shd w:val="clear" w:color="000000" w:fill="FFFFFF"/>
            <w:noWrap/>
            <w:vAlign w:val="bottom"/>
            <w:hideMark/>
          </w:tcPr>
          <w:p w14:paraId="32476A4F" w14:textId="77777777" w:rsidR="00776B6F" w:rsidRPr="00776B6F" w:rsidRDefault="00776B6F" w:rsidP="00776B6F">
            <w:pPr>
              <w:spacing w:after="0" w:line="240" w:lineRule="auto"/>
              <w:jc w:val="right"/>
              <w:rPr>
                <w:rFonts w:ascii="Arial" w:eastAsia="Times New Roman" w:hAnsi="Arial" w:cs="Arial"/>
                <w:sz w:val="16"/>
                <w:szCs w:val="16"/>
                <w:lang w:eastAsia="fr-FR"/>
              </w:rPr>
            </w:pPr>
            <w:r w:rsidRPr="00776B6F">
              <w:rPr>
                <w:rFonts w:ascii="Arial" w:eastAsia="Times New Roman" w:hAnsi="Arial" w:cs="Arial"/>
                <w:sz w:val="16"/>
                <w:szCs w:val="16"/>
                <w:lang w:eastAsia="fr-FR"/>
              </w:rPr>
              <w:t>52,3%</w:t>
            </w:r>
          </w:p>
        </w:tc>
      </w:tr>
      <w:tr w:rsidR="00B24460" w:rsidRPr="00776B6F" w14:paraId="15F758E1" w14:textId="77777777" w:rsidTr="0085523C">
        <w:trPr>
          <w:trHeight w:val="340"/>
        </w:trPr>
        <w:tc>
          <w:tcPr>
            <w:tcW w:w="31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EF90EA" w14:textId="77777777" w:rsidR="00776B6F" w:rsidRPr="00776B6F" w:rsidRDefault="00776B6F" w:rsidP="00776B6F">
            <w:pPr>
              <w:spacing w:after="0" w:line="240" w:lineRule="auto"/>
              <w:rPr>
                <w:rFonts w:ascii="Arial" w:eastAsia="Times New Roman" w:hAnsi="Arial" w:cs="Arial"/>
                <w:b/>
                <w:bCs/>
                <w:sz w:val="16"/>
                <w:szCs w:val="16"/>
                <w:lang w:eastAsia="fr-FR"/>
              </w:rPr>
            </w:pPr>
            <w:proofErr w:type="spellStart"/>
            <w:r w:rsidRPr="00776B6F">
              <w:rPr>
                <w:rFonts w:ascii="Arial" w:eastAsia="Times New Roman" w:hAnsi="Arial" w:cs="Arial"/>
                <w:b/>
                <w:bCs/>
                <w:sz w:val="16"/>
                <w:szCs w:val="16"/>
                <w:lang w:eastAsia="fr-FR"/>
              </w:rPr>
              <w:t>Adjusted</w:t>
            </w:r>
            <w:proofErr w:type="spellEnd"/>
            <w:r w:rsidRPr="00776B6F">
              <w:rPr>
                <w:rFonts w:ascii="Arial" w:eastAsia="Times New Roman" w:hAnsi="Arial" w:cs="Arial"/>
                <w:b/>
                <w:bCs/>
                <w:sz w:val="16"/>
                <w:szCs w:val="16"/>
                <w:lang w:eastAsia="fr-FR"/>
              </w:rPr>
              <w:t xml:space="preserve"> </w:t>
            </w:r>
            <w:proofErr w:type="spellStart"/>
            <w:r w:rsidRPr="00776B6F">
              <w:rPr>
                <w:rFonts w:ascii="Arial" w:eastAsia="Times New Roman" w:hAnsi="Arial" w:cs="Arial"/>
                <w:b/>
                <w:bCs/>
                <w:sz w:val="16"/>
                <w:szCs w:val="16"/>
                <w:lang w:eastAsia="fr-FR"/>
              </w:rPr>
              <w:t>gross</w:t>
            </w:r>
            <w:proofErr w:type="spellEnd"/>
            <w:r w:rsidRPr="00776B6F">
              <w:rPr>
                <w:rFonts w:ascii="Arial" w:eastAsia="Times New Roman" w:hAnsi="Arial" w:cs="Arial"/>
                <w:b/>
                <w:bCs/>
                <w:sz w:val="16"/>
                <w:szCs w:val="16"/>
                <w:lang w:eastAsia="fr-FR"/>
              </w:rPr>
              <w:t xml:space="preserve"> </w:t>
            </w:r>
            <w:proofErr w:type="spellStart"/>
            <w:r w:rsidRPr="00776B6F">
              <w:rPr>
                <w:rFonts w:ascii="Arial" w:eastAsia="Times New Roman" w:hAnsi="Arial" w:cs="Arial"/>
                <w:b/>
                <w:bCs/>
                <w:sz w:val="16"/>
                <w:szCs w:val="16"/>
                <w:lang w:eastAsia="fr-FR"/>
              </w:rPr>
              <w:t>margin</w:t>
            </w:r>
            <w:proofErr w:type="spellEnd"/>
            <w:r w:rsidRPr="00776B6F">
              <w:rPr>
                <w:rFonts w:ascii="Arial" w:eastAsia="Times New Roman" w:hAnsi="Arial" w:cs="Arial"/>
                <w:b/>
                <w:bCs/>
                <w:sz w:val="16"/>
                <w:szCs w:val="16"/>
                <w:lang w:eastAsia="fr-FR"/>
              </w:rPr>
              <w:t> </w:t>
            </w:r>
          </w:p>
        </w:tc>
        <w:tc>
          <w:tcPr>
            <w:tcW w:w="837" w:type="dxa"/>
            <w:tcBorders>
              <w:top w:val="nil"/>
              <w:left w:val="nil"/>
              <w:bottom w:val="nil"/>
              <w:right w:val="nil"/>
            </w:tcBorders>
            <w:shd w:val="clear" w:color="000000" w:fill="FFFFFF"/>
            <w:noWrap/>
            <w:vAlign w:val="bottom"/>
            <w:hideMark/>
          </w:tcPr>
          <w:p w14:paraId="32975D51" w14:textId="77777777" w:rsidR="00776B6F" w:rsidRPr="00776B6F" w:rsidRDefault="00776B6F" w:rsidP="00776B6F">
            <w:pPr>
              <w:spacing w:after="0" w:line="240" w:lineRule="auto"/>
              <w:rPr>
                <w:rFonts w:ascii="Arial" w:eastAsia="Times New Roman" w:hAnsi="Arial" w:cs="Arial"/>
                <w:b/>
                <w:bCs/>
                <w:sz w:val="16"/>
                <w:szCs w:val="16"/>
                <w:lang w:eastAsia="fr-FR"/>
              </w:rPr>
            </w:pPr>
          </w:p>
        </w:tc>
        <w:tc>
          <w:tcPr>
            <w:tcW w:w="132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E3AD03" w14:textId="77777777" w:rsidR="00776B6F" w:rsidRPr="00776B6F" w:rsidRDefault="00776B6F" w:rsidP="00776B6F">
            <w:pPr>
              <w:spacing w:after="0" w:line="240" w:lineRule="auto"/>
              <w:jc w:val="right"/>
              <w:rPr>
                <w:rFonts w:ascii="Arial" w:eastAsia="Times New Roman" w:hAnsi="Arial" w:cs="Arial"/>
                <w:b/>
                <w:bCs/>
                <w:sz w:val="16"/>
                <w:szCs w:val="16"/>
                <w:lang w:eastAsia="fr-FR"/>
              </w:rPr>
            </w:pPr>
            <w:r w:rsidRPr="00776B6F">
              <w:rPr>
                <w:rFonts w:ascii="Arial" w:eastAsia="Times New Roman" w:hAnsi="Arial" w:cs="Arial"/>
                <w:b/>
                <w:bCs/>
                <w:sz w:val="16"/>
                <w:szCs w:val="16"/>
                <w:lang w:eastAsia="fr-FR"/>
              </w:rPr>
              <w:t>45 061 238</w:t>
            </w:r>
          </w:p>
        </w:tc>
        <w:tc>
          <w:tcPr>
            <w:tcW w:w="216" w:type="dxa"/>
            <w:tcBorders>
              <w:top w:val="nil"/>
              <w:left w:val="nil"/>
              <w:bottom w:val="nil"/>
              <w:right w:val="nil"/>
            </w:tcBorders>
            <w:shd w:val="clear" w:color="000000" w:fill="FFFFFF"/>
            <w:noWrap/>
            <w:vAlign w:val="bottom"/>
            <w:hideMark/>
          </w:tcPr>
          <w:p w14:paraId="00713BF6" w14:textId="77777777" w:rsidR="00776B6F" w:rsidRPr="00776B6F" w:rsidRDefault="00776B6F" w:rsidP="00776B6F">
            <w:pPr>
              <w:spacing w:after="0" w:line="240" w:lineRule="auto"/>
              <w:jc w:val="right"/>
              <w:rPr>
                <w:rFonts w:ascii="Arial" w:eastAsia="Times New Roman" w:hAnsi="Arial" w:cs="Arial"/>
                <w:b/>
                <w:bCs/>
                <w:sz w:val="16"/>
                <w:szCs w:val="16"/>
                <w:lang w:eastAsia="fr-FR"/>
              </w:rPr>
            </w:pPr>
          </w:p>
        </w:tc>
        <w:tc>
          <w:tcPr>
            <w:tcW w:w="141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160730" w14:textId="77777777" w:rsidR="00776B6F" w:rsidRPr="00776B6F" w:rsidRDefault="00776B6F" w:rsidP="00776B6F">
            <w:pPr>
              <w:spacing w:after="0" w:line="240" w:lineRule="auto"/>
              <w:jc w:val="right"/>
              <w:rPr>
                <w:rFonts w:ascii="Arial" w:eastAsia="Times New Roman" w:hAnsi="Arial" w:cs="Arial"/>
                <w:b/>
                <w:bCs/>
                <w:sz w:val="16"/>
                <w:szCs w:val="16"/>
                <w:lang w:eastAsia="fr-FR"/>
              </w:rPr>
            </w:pPr>
            <w:r w:rsidRPr="00776B6F">
              <w:rPr>
                <w:rFonts w:ascii="Arial" w:eastAsia="Times New Roman" w:hAnsi="Arial" w:cs="Arial"/>
                <w:b/>
                <w:bCs/>
                <w:sz w:val="16"/>
                <w:szCs w:val="16"/>
                <w:lang w:eastAsia="fr-FR"/>
              </w:rPr>
              <w:t>35 417 589</w:t>
            </w:r>
          </w:p>
        </w:tc>
        <w:tc>
          <w:tcPr>
            <w:tcW w:w="216" w:type="dxa"/>
            <w:tcBorders>
              <w:top w:val="nil"/>
              <w:left w:val="nil"/>
              <w:bottom w:val="nil"/>
              <w:right w:val="nil"/>
            </w:tcBorders>
            <w:shd w:val="clear" w:color="000000" w:fill="FFFFFF"/>
            <w:noWrap/>
            <w:vAlign w:val="bottom"/>
            <w:hideMark/>
          </w:tcPr>
          <w:p w14:paraId="4F1E8678" w14:textId="77777777" w:rsidR="00776B6F" w:rsidRPr="00776B6F" w:rsidRDefault="00776B6F" w:rsidP="00776B6F">
            <w:pPr>
              <w:spacing w:after="0" w:line="240" w:lineRule="auto"/>
              <w:jc w:val="right"/>
              <w:rPr>
                <w:rFonts w:ascii="Arial" w:eastAsia="Times New Roman" w:hAnsi="Arial" w:cs="Arial"/>
                <w:b/>
                <w:bCs/>
                <w:sz w:val="16"/>
                <w:szCs w:val="16"/>
                <w:lang w:eastAsia="fr-FR"/>
              </w:rPr>
            </w:pPr>
          </w:p>
        </w:tc>
        <w:tc>
          <w:tcPr>
            <w:tcW w:w="141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197A41" w14:textId="77777777" w:rsidR="00776B6F" w:rsidRPr="00776B6F" w:rsidRDefault="00776B6F" w:rsidP="00776B6F">
            <w:pPr>
              <w:spacing w:after="0" w:line="240" w:lineRule="auto"/>
              <w:jc w:val="right"/>
              <w:rPr>
                <w:rFonts w:ascii="Arial" w:eastAsia="Times New Roman" w:hAnsi="Arial" w:cs="Arial"/>
                <w:b/>
                <w:bCs/>
                <w:sz w:val="16"/>
                <w:szCs w:val="16"/>
                <w:lang w:eastAsia="fr-FR"/>
              </w:rPr>
            </w:pPr>
            <w:r w:rsidRPr="00776B6F">
              <w:rPr>
                <w:rFonts w:ascii="Arial" w:eastAsia="Times New Roman" w:hAnsi="Arial" w:cs="Arial"/>
                <w:b/>
                <w:bCs/>
                <w:sz w:val="16"/>
                <w:szCs w:val="16"/>
                <w:lang w:eastAsia="fr-FR"/>
              </w:rPr>
              <w:t>9 643 649</w:t>
            </w:r>
          </w:p>
        </w:tc>
        <w:tc>
          <w:tcPr>
            <w:tcW w:w="216" w:type="dxa"/>
            <w:tcBorders>
              <w:top w:val="nil"/>
              <w:left w:val="nil"/>
              <w:bottom w:val="nil"/>
              <w:right w:val="nil"/>
            </w:tcBorders>
            <w:shd w:val="clear" w:color="000000" w:fill="FFFFFF"/>
            <w:noWrap/>
            <w:vAlign w:val="bottom"/>
            <w:hideMark/>
          </w:tcPr>
          <w:p w14:paraId="2973EAE1" w14:textId="77777777" w:rsidR="00776B6F" w:rsidRPr="00776B6F" w:rsidRDefault="00776B6F" w:rsidP="00776B6F">
            <w:pPr>
              <w:spacing w:after="0" w:line="240" w:lineRule="auto"/>
              <w:jc w:val="right"/>
              <w:rPr>
                <w:rFonts w:ascii="Arial" w:eastAsia="Times New Roman" w:hAnsi="Arial" w:cs="Arial"/>
                <w:b/>
                <w:bCs/>
                <w:sz w:val="16"/>
                <w:szCs w:val="16"/>
                <w:lang w:eastAsia="fr-FR"/>
              </w:rPr>
            </w:pPr>
          </w:p>
        </w:tc>
        <w:tc>
          <w:tcPr>
            <w:tcW w:w="149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06765B" w14:textId="77777777" w:rsidR="00776B6F" w:rsidRPr="00776B6F" w:rsidRDefault="00776B6F" w:rsidP="00776B6F">
            <w:pPr>
              <w:spacing w:after="0" w:line="240" w:lineRule="auto"/>
              <w:jc w:val="right"/>
              <w:rPr>
                <w:rFonts w:ascii="Arial" w:eastAsia="Times New Roman" w:hAnsi="Arial" w:cs="Arial"/>
                <w:b/>
                <w:bCs/>
                <w:sz w:val="16"/>
                <w:szCs w:val="16"/>
                <w:lang w:eastAsia="fr-FR"/>
              </w:rPr>
            </w:pPr>
            <w:r w:rsidRPr="00776B6F">
              <w:rPr>
                <w:rFonts w:ascii="Arial" w:eastAsia="Times New Roman" w:hAnsi="Arial" w:cs="Arial"/>
                <w:b/>
                <w:bCs/>
                <w:sz w:val="16"/>
                <w:szCs w:val="16"/>
                <w:lang w:eastAsia="fr-FR"/>
              </w:rPr>
              <w:t>27,2%</w:t>
            </w:r>
          </w:p>
        </w:tc>
      </w:tr>
      <w:tr w:rsidR="00B24460" w:rsidRPr="00776B6F" w14:paraId="6A858201" w14:textId="77777777" w:rsidTr="0085523C">
        <w:trPr>
          <w:trHeight w:val="340"/>
        </w:trPr>
        <w:tc>
          <w:tcPr>
            <w:tcW w:w="31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195EB8" w14:textId="77777777" w:rsidR="00776B6F" w:rsidRPr="00776B6F" w:rsidRDefault="00776B6F" w:rsidP="00776B6F">
            <w:pPr>
              <w:spacing w:after="0" w:line="240" w:lineRule="auto"/>
              <w:rPr>
                <w:rFonts w:ascii="Arial" w:eastAsia="Times New Roman" w:hAnsi="Arial" w:cs="Arial"/>
                <w:b/>
                <w:bCs/>
                <w:sz w:val="16"/>
                <w:szCs w:val="16"/>
                <w:lang w:eastAsia="fr-FR"/>
              </w:rPr>
            </w:pPr>
            <w:proofErr w:type="spellStart"/>
            <w:r w:rsidRPr="00776B6F">
              <w:rPr>
                <w:rFonts w:ascii="Arial" w:eastAsia="Times New Roman" w:hAnsi="Arial" w:cs="Arial"/>
                <w:b/>
                <w:bCs/>
                <w:sz w:val="16"/>
                <w:szCs w:val="16"/>
                <w:lang w:eastAsia="fr-FR"/>
              </w:rPr>
              <w:t>Adjusted</w:t>
            </w:r>
            <w:proofErr w:type="spellEnd"/>
            <w:r w:rsidRPr="00776B6F">
              <w:rPr>
                <w:rFonts w:ascii="Arial" w:eastAsia="Times New Roman" w:hAnsi="Arial" w:cs="Arial"/>
                <w:b/>
                <w:bCs/>
                <w:sz w:val="16"/>
                <w:szCs w:val="16"/>
                <w:lang w:eastAsia="fr-FR"/>
              </w:rPr>
              <w:t xml:space="preserve"> </w:t>
            </w:r>
            <w:proofErr w:type="spellStart"/>
            <w:r w:rsidRPr="00776B6F">
              <w:rPr>
                <w:rFonts w:ascii="Arial" w:eastAsia="Times New Roman" w:hAnsi="Arial" w:cs="Arial"/>
                <w:b/>
                <w:bCs/>
                <w:sz w:val="16"/>
                <w:szCs w:val="16"/>
                <w:lang w:eastAsia="fr-FR"/>
              </w:rPr>
              <w:t>gross</w:t>
            </w:r>
            <w:proofErr w:type="spellEnd"/>
            <w:r w:rsidRPr="00776B6F">
              <w:rPr>
                <w:rFonts w:ascii="Arial" w:eastAsia="Times New Roman" w:hAnsi="Arial" w:cs="Arial"/>
                <w:b/>
                <w:bCs/>
                <w:sz w:val="16"/>
                <w:szCs w:val="16"/>
                <w:lang w:eastAsia="fr-FR"/>
              </w:rPr>
              <w:t xml:space="preserve"> </w:t>
            </w:r>
            <w:proofErr w:type="spellStart"/>
            <w:r w:rsidRPr="00776B6F">
              <w:rPr>
                <w:rFonts w:ascii="Arial" w:eastAsia="Times New Roman" w:hAnsi="Arial" w:cs="Arial"/>
                <w:b/>
                <w:bCs/>
                <w:sz w:val="16"/>
                <w:szCs w:val="16"/>
                <w:lang w:eastAsia="fr-FR"/>
              </w:rPr>
              <w:t>margin</w:t>
            </w:r>
            <w:proofErr w:type="spellEnd"/>
            <w:r w:rsidRPr="00776B6F">
              <w:rPr>
                <w:rFonts w:ascii="Arial" w:eastAsia="Times New Roman" w:hAnsi="Arial" w:cs="Arial"/>
                <w:b/>
                <w:bCs/>
                <w:sz w:val="16"/>
                <w:szCs w:val="16"/>
                <w:lang w:eastAsia="fr-FR"/>
              </w:rPr>
              <w:t> </w:t>
            </w:r>
          </w:p>
        </w:tc>
        <w:tc>
          <w:tcPr>
            <w:tcW w:w="837" w:type="dxa"/>
            <w:tcBorders>
              <w:top w:val="nil"/>
              <w:left w:val="nil"/>
              <w:bottom w:val="nil"/>
              <w:right w:val="nil"/>
            </w:tcBorders>
            <w:shd w:val="clear" w:color="000000" w:fill="FFFFFF"/>
            <w:noWrap/>
            <w:vAlign w:val="bottom"/>
            <w:hideMark/>
          </w:tcPr>
          <w:p w14:paraId="61538E69" w14:textId="77777777" w:rsidR="00776B6F" w:rsidRPr="00776B6F" w:rsidRDefault="00776B6F" w:rsidP="00776B6F">
            <w:pPr>
              <w:spacing w:after="0" w:line="240" w:lineRule="auto"/>
              <w:rPr>
                <w:rFonts w:ascii="Arial" w:eastAsia="Times New Roman" w:hAnsi="Arial" w:cs="Arial"/>
                <w:b/>
                <w:bCs/>
                <w:sz w:val="16"/>
                <w:szCs w:val="16"/>
                <w:lang w:eastAsia="fr-FR"/>
              </w:rPr>
            </w:pPr>
          </w:p>
        </w:tc>
        <w:tc>
          <w:tcPr>
            <w:tcW w:w="132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8B3C9E" w14:textId="77777777" w:rsidR="00776B6F" w:rsidRPr="00776B6F" w:rsidRDefault="00776B6F" w:rsidP="00776B6F">
            <w:pPr>
              <w:spacing w:after="0" w:line="240" w:lineRule="auto"/>
              <w:jc w:val="right"/>
              <w:rPr>
                <w:rFonts w:ascii="Arial" w:eastAsia="Times New Roman" w:hAnsi="Arial" w:cs="Arial"/>
                <w:b/>
                <w:bCs/>
                <w:sz w:val="16"/>
                <w:szCs w:val="16"/>
                <w:lang w:eastAsia="fr-FR"/>
              </w:rPr>
            </w:pPr>
            <w:r w:rsidRPr="00776B6F">
              <w:rPr>
                <w:rFonts w:ascii="Arial" w:eastAsia="Times New Roman" w:hAnsi="Arial" w:cs="Arial"/>
                <w:b/>
                <w:bCs/>
                <w:sz w:val="16"/>
                <w:szCs w:val="16"/>
                <w:lang w:eastAsia="fr-FR"/>
              </w:rPr>
              <w:t>60,9%</w:t>
            </w:r>
          </w:p>
        </w:tc>
        <w:tc>
          <w:tcPr>
            <w:tcW w:w="216" w:type="dxa"/>
            <w:tcBorders>
              <w:top w:val="nil"/>
              <w:left w:val="nil"/>
              <w:bottom w:val="nil"/>
              <w:right w:val="nil"/>
            </w:tcBorders>
            <w:shd w:val="clear" w:color="000000" w:fill="FFFFFF"/>
            <w:noWrap/>
            <w:vAlign w:val="bottom"/>
            <w:hideMark/>
          </w:tcPr>
          <w:p w14:paraId="41A15782" w14:textId="77777777" w:rsidR="00776B6F" w:rsidRPr="00776B6F" w:rsidRDefault="00776B6F" w:rsidP="00776B6F">
            <w:pPr>
              <w:spacing w:after="0" w:line="240" w:lineRule="auto"/>
              <w:jc w:val="right"/>
              <w:rPr>
                <w:rFonts w:ascii="Arial" w:eastAsia="Times New Roman" w:hAnsi="Arial" w:cs="Arial"/>
                <w:b/>
                <w:bCs/>
                <w:sz w:val="16"/>
                <w:szCs w:val="16"/>
                <w:lang w:eastAsia="fr-FR"/>
              </w:rPr>
            </w:pPr>
          </w:p>
        </w:tc>
        <w:tc>
          <w:tcPr>
            <w:tcW w:w="141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A6F575" w14:textId="77777777" w:rsidR="00776B6F" w:rsidRPr="00776B6F" w:rsidRDefault="00776B6F" w:rsidP="00776B6F">
            <w:pPr>
              <w:spacing w:after="0" w:line="240" w:lineRule="auto"/>
              <w:jc w:val="right"/>
              <w:rPr>
                <w:rFonts w:ascii="Arial" w:eastAsia="Times New Roman" w:hAnsi="Arial" w:cs="Arial"/>
                <w:b/>
                <w:bCs/>
                <w:sz w:val="16"/>
                <w:szCs w:val="16"/>
                <w:lang w:eastAsia="fr-FR"/>
              </w:rPr>
            </w:pPr>
            <w:r w:rsidRPr="00776B6F">
              <w:rPr>
                <w:rFonts w:ascii="Arial" w:eastAsia="Times New Roman" w:hAnsi="Arial" w:cs="Arial"/>
                <w:b/>
                <w:bCs/>
                <w:sz w:val="16"/>
                <w:szCs w:val="16"/>
                <w:lang w:eastAsia="fr-FR"/>
              </w:rPr>
              <w:t>60,4%</w:t>
            </w:r>
          </w:p>
        </w:tc>
        <w:tc>
          <w:tcPr>
            <w:tcW w:w="216" w:type="dxa"/>
            <w:tcBorders>
              <w:top w:val="nil"/>
              <w:left w:val="nil"/>
              <w:bottom w:val="nil"/>
              <w:right w:val="nil"/>
            </w:tcBorders>
            <w:shd w:val="clear" w:color="000000" w:fill="FFFFFF"/>
            <w:noWrap/>
            <w:vAlign w:val="bottom"/>
            <w:hideMark/>
          </w:tcPr>
          <w:p w14:paraId="51238489" w14:textId="77777777" w:rsidR="00776B6F" w:rsidRPr="00776B6F" w:rsidRDefault="00776B6F" w:rsidP="00776B6F">
            <w:pPr>
              <w:spacing w:after="0" w:line="240" w:lineRule="auto"/>
              <w:jc w:val="right"/>
              <w:rPr>
                <w:rFonts w:ascii="Arial" w:eastAsia="Times New Roman" w:hAnsi="Arial" w:cs="Arial"/>
                <w:b/>
                <w:bCs/>
                <w:sz w:val="16"/>
                <w:szCs w:val="16"/>
                <w:lang w:eastAsia="fr-FR"/>
              </w:rPr>
            </w:pPr>
          </w:p>
        </w:tc>
        <w:tc>
          <w:tcPr>
            <w:tcW w:w="141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A05F59" w14:textId="77777777" w:rsidR="00776B6F" w:rsidRPr="00776B6F" w:rsidRDefault="00776B6F" w:rsidP="00776B6F">
            <w:pPr>
              <w:spacing w:after="0" w:line="240" w:lineRule="auto"/>
              <w:rPr>
                <w:rFonts w:ascii="Times New Roman" w:eastAsia="Times New Roman" w:hAnsi="Times New Roman"/>
                <w:sz w:val="16"/>
                <w:szCs w:val="16"/>
                <w:lang w:eastAsia="fr-FR"/>
              </w:rPr>
            </w:pPr>
          </w:p>
        </w:tc>
        <w:tc>
          <w:tcPr>
            <w:tcW w:w="216" w:type="dxa"/>
            <w:tcBorders>
              <w:top w:val="nil"/>
              <w:left w:val="nil"/>
              <w:bottom w:val="nil"/>
              <w:right w:val="nil"/>
            </w:tcBorders>
            <w:shd w:val="clear" w:color="000000" w:fill="FFFFFF"/>
            <w:noWrap/>
            <w:vAlign w:val="bottom"/>
            <w:hideMark/>
          </w:tcPr>
          <w:p w14:paraId="5576C288" w14:textId="77777777" w:rsidR="00776B6F" w:rsidRPr="00776B6F" w:rsidRDefault="00776B6F" w:rsidP="00776B6F">
            <w:pPr>
              <w:spacing w:after="0" w:line="240" w:lineRule="auto"/>
              <w:rPr>
                <w:rFonts w:ascii="Times New Roman" w:eastAsia="Times New Roman" w:hAnsi="Times New Roman"/>
                <w:sz w:val="16"/>
                <w:szCs w:val="16"/>
                <w:lang w:eastAsia="fr-FR"/>
              </w:rPr>
            </w:pPr>
          </w:p>
        </w:tc>
        <w:tc>
          <w:tcPr>
            <w:tcW w:w="149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11B625" w14:textId="77777777" w:rsidR="00776B6F" w:rsidRPr="00776B6F" w:rsidRDefault="00776B6F" w:rsidP="00776B6F">
            <w:pPr>
              <w:spacing w:after="0" w:line="240" w:lineRule="auto"/>
              <w:jc w:val="right"/>
              <w:rPr>
                <w:rFonts w:ascii="Arial" w:eastAsia="Times New Roman" w:hAnsi="Arial" w:cs="Arial"/>
                <w:b/>
                <w:bCs/>
                <w:sz w:val="16"/>
                <w:szCs w:val="16"/>
                <w:lang w:eastAsia="fr-FR"/>
              </w:rPr>
            </w:pPr>
            <w:r w:rsidRPr="00776B6F">
              <w:rPr>
                <w:rFonts w:ascii="Arial" w:eastAsia="Times New Roman" w:hAnsi="Arial" w:cs="Arial"/>
                <w:b/>
                <w:bCs/>
                <w:sz w:val="16"/>
                <w:szCs w:val="16"/>
                <w:lang w:eastAsia="fr-FR"/>
              </w:rPr>
              <w:t>0,8%</w:t>
            </w:r>
          </w:p>
        </w:tc>
      </w:tr>
      <w:tr w:rsidR="00776B6F" w:rsidRPr="00776B6F" w14:paraId="07A3DC07" w14:textId="77777777" w:rsidTr="0085523C">
        <w:trPr>
          <w:trHeight w:val="340"/>
        </w:trPr>
        <w:tc>
          <w:tcPr>
            <w:tcW w:w="3166" w:type="dxa"/>
            <w:tcBorders>
              <w:top w:val="nil"/>
              <w:left w:val="single" w:sz="4" w:space="0" w:color="auto"/>
              <w:bottom w:val="nil"/>
              <w:right w:val="single" w:sz="4" w:space="0" w:color="auto"/>
            </w:tcBorders>
            <w:noWrap/>
            <w:vAlign w:val="bottom"/>
            <w:hideMark/>
          </w:tcPr>
          <w:p w14:paraId="1ED95507" w14:textId="77777777" w:rsidR="00776B6F" w:rsidRPr="00776B6F" w:rsidRDefault="00776B6F" w:rsidP="00776B6F">
            <w:pPr>
              <w:spacing w:after="0" w:line="240" w:lineRule="auto"/>
              <w:rPr>
                <w:rFonts w:ascii="Arial" w:eastAsia="Times New Roman" w:hAnsi="Arial" w:cs="Arial"/>
                <w:sz w:val="16"/>
                <w:szCs w:val="16"/>
                <w:lang w:eastAsia="fr-FR"/>
              </w:rPr>
            </w:pPr>
            <w:r w:rsidRPr="00776B6F">
              <w:rPr>
                <w:rFonts w:ascii="Arial" w:eastAsia="Times New Roman" w:hAnsi="Arial" w:cs="Arial"/>
                <w:sz w:val="16"/>
                <w:szCs w:val="16"/>
                <w:lang w:eastAsia="fr-FR"/>
              </w:rPr>
              <w:t>Advertising contributions </w:t>
            </w:r>
          </w:p>
        </w:tc>
        <w:tc>
          <w:tcPr>
            <w:tcW w:w="837" w:type="dxa"/>
            <w:tcBorders>
              <w:top w:val="nil"/>
              <w:left w:val="nil"/>
              <w:bottom w:val="nil"/>
              <w:right w:val="nil"/>
            </w:tcBorders>
            <w:noWrap/>
            <w:vAlign w:val="bottom"/>
            <w:hideMark/>
          </w:tcPr>
          <w:p w14:paraId="129FC044" w14:textId="77777777" w:rsidR="00776B6F" w:rsidRPr="00776B6F" w:rsidRDefault="00776B6F" w:rsidP="00776B6F">
            <w:pPr>
              <w:spacing w:after="0" w:line="240" w:lineRule="auto"/>
              <w:rPr>
                <w:rFonts w:ascii="Arial" w:eastAsia="Times New Roman" w:hAnsi="Arial" w:cs="Arial"/>
                <w:sz w:val="16"/>
                <w:szCs w:val="16"/>
                <w:lang w:eastAsia="fr-FR"/>
              </w:rPr>
            </w:pPr>
          </w:p>
        </w:tc>
        <w:tc>
          <w:tcPr>
            <w:tcW w:w="1320" w:type="dxa"/>
            <w:tcBorders>
              <w:top w:val="nil"/>
              <w:left w:val="single" w:sz="4" w:space="0" w:color="auto"/>
              <w:bottom w:val="nil"/>
              <w:right w:val="single" w:sz="4" w:space="0" w:color="auto"/>
            </w:tcBorders>
            <w:noWrap/>
            <w:vAlign w:val="bottom"/>
            <w:hideMark/>
          </w:tcPr>
          <w:p w14:paraId="159FB890" w14:textId="77777777" w:rsidR="00776B6F" w:rsidRPr="00776B6F" w:rsidRDefault="00776B6F" w:rsidP="00776B6F">
            <w:pPr>
              <w:spacing w:after="0" w:line="240" w:lineRule="auto"/>
              <w:jc w:val="right"/>
              <w:rPr>
                <w:rFonts w:ascii="Arial" w:eastAsia="Times New Roman" w:hAnsi="Arial" w:cs="Arial"/>
                <w:sz w:val="16"/>
                <w:szCs w:val="16"/>
                <w:lang w:eastAsia="fr-FR"/>
              </w:rPr>
            </w:pPr>
            <w:r w:rsidRPr="00776B6F">
              <w:rPr>
                <w:rFonts w:ascii="Arial" w:eastAsia="Times New Roman" w:hAnsi="Arial" w:cs="Arial"/>
                <w:sz w:val="16"/>
                <w:szCs w:val="16"/>
                <w:lang w:eastAsia="fr-FR"/>
              </w:rPr>
              <w:t>-10 021 816</w:t>
            </w:r>
          </w:p>
        </w:tc>
        <w:tc>
          <w:tcPr>
            <w:tcW w:w="216" w:type="dxa"/>
            <w:tcBorders>
              <w:top w:val="nil"/>
              <w:left w:val="nil"/>
              <w:bottom w:val="nil"/>
              <w:right w:val="nil"/>
            </w:tcBorders>
            <w:noWrap/>
            <w:vAlign w:val="bottom"/>
            <w:hideMark/>
          </w:tcPr>
          <w:p w14:paraId="2B782735" w14:textId="77777777" w:rsidR="00776B6F" w:rsidRPr="00776B6F" w:rsidRDefault="00776B6F" w:rsidP="00776B6F">
            <w:pPr>
              <w:spacing w:after="0" w:line="240" w:lineRule="auto"/>
              <w:jc w:val="right"/>
              <w:rPr>
                <w:rFonts w:ascii="Arial" w:eastAsia="Times New Roman" w:hAnsi="Arial" w:cs="Arial"/>
                <w:sz w:val="16"/>
                <w:szCs w:val="16"/>
                <w:lang w:eastAsia="fr-FR"/>
              </w:rPr>
            </w:pPr>
          </w:p>
        </w:tc>
        <w:tc>
          <w:tcPr>
            <w:tcW w:w="1419" w:type="dxa"/>
            <w:tcBorders>
              <w:top w:val="nil"/>
              <w:left w:val="single" w:sz="4" w:space="0" w:color="auto"/>
              <w:bottom w:val="nil"/>
              <w:right w:val="single" w:sz="4" w:space="0" w:color="auto"/>
            </w:tcBorders>
            <w:noWrap/>
            <w:vAlign w:val="bottom"/>
            <w:hideMark/>
          </w:tcPr>
          <w:p w14:paraId="3B84ED41" w14:textId="77777777" w:rsidR="00776B6F" w:rsidRPr="00776B6F" w:rsidRDefault="00776B6F" w:rsidP="00776B6F">
            <w:pPr>
              <w:spacing w:after="0" w:line="240" w:lineRule="auto"/>
              <w:jc w:val="right"/>
              <w:rPr>
                <w:rFonts w:ascii="Arial" w:eastAsia="Times New Roman" w:hAnsi="Arial" w:cs="Arial"/>
                <w:sz w:val="16"/>
                <w:szCs w:val="16"/>
                <w:lang w:eastAsia="fr-FR"/>
              </w:rPr>
            </w:pPr>
            <w:r w:rsidRPr="00776B6F">
              <w:rPr>
                <w:rFonts w:ascii="Arial" w:eastAsia="Times New Roman" w:hAnsi="Arial" w:cs="Arial"/>
                <w:sz w:val="16"/>
                <w:szCs w:val="16"/>
                <w:lang w:eastAsia="fr-FR"/>
              </w:rPr>
              <w:t>-8 240 944</w:t>
            </w:r>
          </w:p>
        </w:tc>
        <w:tc>
          <w:tcPr>
            <w:tcW w:w="216" w:type="dxa"/>
            <w:tcBorders>
              <w:top w:val="nil"/>
              <w:left w:val="nil"/>
              <w:bottom w:val="nil"/>
              <w:right w:val="nil"/>
            </w:tcBorders>
            <w:noWrap/>
            <w:vAlign w:val="bottom"/>
            <w:hideMark/>
          </w:tcPr>
          <w:p w14:paraId="758E97A6" w14:textId="77777777" w:rsidR="00776B6F" w:rsidRPr="00776B6F" w:rsidRDefault="00776B6F" w:rsidP="00776B6F">
            <w:pPr>
              <w:spacing w:after="0" w:line="240" w:lineRule="auto"/>
              <w:jc w:val="right"/>
              <w:rPr>
                <w:rFonts w:ascii="Arial" w:eastAsia="Times New Roman" w:hAnsi="Arial" w:cs="Arial"/>
                <w:sz w:val="16"/>
                <w:szCs w:val="16"/>
                <w:lang w:eastAsia="fr-FR"/>
              </w:rPr>
            </w:pPr>
          </w:p>
        </w:tc>
        <w:tc>
          <w:tcPr>
            <w:tcW w:w="1419" w:type="dxa"/>
            <w:tcBorders>
              <w:top w:val="nil"/>
              <w:left w:val="single" w:sz="4" w:space="0" w:color="auto"/>
              <w:bottom w:val="nil"/>
              <w:right w:val="single" w:sz="4" w:space="0" w:color="auto"/>
            </w:tcBorders>
            <w:noWrap/>
            <w:vAlign w:val="bottom"/>
            <w:hideMark/>
          </w:tcPr>
          <w:p w14:paraId="7A5CAE9E" w14:textId="77777777" w:rsidR="00776B6F" w:rsidRPr="00776B6F" w:rsidRDefault="00776B6F" w:rsidP="00776B6F">
            <w:pPr>
              <w:spacing w:after="0" w:line="240" w:lineRule="auto"/>
              <w:jc w:val="right"/>
              <w:rPr>
                <w:rFonts w:ascii="Arial" w:eastAsia="Times New Roman" w:hAnsi="Arial" w:cs="Arial"/>
                <w:sz w:val="16"/>
                <w:szCs w:val="16"/>
                <w:lang w:eastAsia="fr-FR"/>
              </w:rPr>
            </w:pPr>
            <w:r w:rsidRPr="00776B6F">
              <w:rPr>
                <w:rFonts w:ascii="Arial" w:eastAsia="Times New Roman" w:hAnsi="Arial" w:cs="Arial"/>
                <w:sz w:val="16"/>
                <w:szCs w:val="16"/>
                <w:lang w:eastAsia="fr-FR"/>
              </w:rPr>
              <w:t>-1 780 872</w:t>
            </w:r>
          </w:p>
        </w:tc>
        <w:tc>
          <w:tcPr>
            <w:tcW w:w="216" w:type="dxa"/>
            <w:tcBorders>
              <w:top w:val="nil"/>
              <w:left w:val="nil"/>
              <w:bottom w:val="nil"/>
              <w:right w:val="nil"/>
            </w:tcBorders>
            <w:noWrap/>
            <w:vAlign w:val="bottom"/>
            <w:hideMark/>
          </w:tcPr>
          <w:p w14:paraId="50A3D237" w14:textId="77777777" w:rsidR="00776B6F" w:rsidRPr="00776B6F" w:rsidRDefault="00776B6F" w:rsidP="00776B6F">
            <w:pPr>
              <w:spacing w:after="0" w:line="240" w:lineRule="auto"/>
              <w:jc w:val="right"/>
              <w:rPr>
                <w:rFonts w:ascii="Arial" w:eastAsia="Times New Roman" w:hAnsi="Arial" w:cs="Arial"/>
                <w:sz w:val="16"/>
                <w:szCs w:val="16"/>
                <w:lang w:eastAsia="fr-FR"/>
              </w:rPr>
            </w:pPr>
          </w:p>
        </w:tc>
        <w:tc>
          <w:tcPr>
            <w:tcW w:w="1491" w:type="dxa"/>
            <w:tcBorders>
              <w:top w:val="nil"/>
              <w:left w:val="single" w:sz="4" w:space="0" w:color="auto"/>
              <w:bottom w:val="nil"/>
              <w:right w:val="single" w:sz="4" w:space="0" w:color="auto"/>
            </w:tcBorders>
            <w:noWrap/>
            <w:vAlign w:val="bottom"/>
            <w:hideMark/>
          </w:tcPr>
          <w:p w14:paraId="37C47AB2" w14:textId="77777777" w:rsidR="00776B6F" w:rsidRPr="00776B6F" w:rsidRDefault="00776B6F" w:rsidP="00776B6F">
            <w:pPr>
              <w:spacing w:after="0" w:line="240" w:lineRule="auto"/>
              <w:jc w:val="right"/>
              <w:rPr>
                <w:rFonts w:ascii="Arial" w:eastAsia="Times New Roman" w:hAnsi="Arial" w:cs="Arial"/>
                <w:sz w:val="16"/>
                <w:szCs w:val="16"/>
                <w:lang w:eastAsia="fr-FR"/>
              </w:rPr>
            </w:pPr>
            <w:r w:rsidRPr="00776B6F">
              <w:rPr>
                <w:rFonts w:ascii="Arial" w:eastAsia="Times New Roman" w:hAnsi="Arial" w:cs="Arial"/>
                <w:sz w:val="16"/>
                <w:szCs w:val="16"/>
                <w:lang w:eastAsia="fr-FR"/>
              </w:rPr>
              <w:t>21,6%</w:t>
            </w:r>
          </w:p>
        </w:tc>
      </w:tr>
      <w:tr w:rsidR="00B24460" w:rsidRPr="00776B6F" w14:paraId="7B5EE208" w14:textId="77777777" w:rsidTr="0085523C">
        <w:trPr>
          <w:trHeight w:val="340"/>
        </w:trPr>
        <w:tc>
          <w:tcPr>
            <w:tcW w:w="3166" w:type="dxa"/>
            <w:tcBorders>
              <w:top w:val="nil"/>
              <w:left w:val="single" w:sz="4" w:space="0" w:color="auto"/>
              <w:bottom w:val="single" w:sz="4" w:space="0" w:color="auto"/>
              <w:right w:val="single" w:sz="4" w:space="0" w:color="auto"/>
            </w:tcBorders>
            <w:shd w:val="clear" w:color="000000" w:fill="FFFFFF"/>
            <w:noWrap/>
            <w:vAlign w:val="bottom"/>
            <w:hideMark/>
          </w:tcPr>
          <w:p w14:paraId="343CB875" w14:textId="77777777" w:rsidR="00776B6F" w:rsidRPr="00776B6F" w:rsidRDefault="00776B6F" w:rsidP="00776B6F">
            <w:pPr>
              <w:spacing w:after="0" w:line="240" w:lineRule="auto"/>
              <w:rPr>
                <w:rFonts w:ascii="Arial" w:eastAsia="Times New Roman" w:hAnsi="Arial" w:cs="Arial"/>
                <w:sz w:val="16"/>
                <w:szCs w:val="16"/>
                <w:lang w:eastAsia="fr-FR"/>
              </w:rPr>
            </w:pPr>
            <w:r w:rsidRPr="00776B6F">
              <w:rPr>
                <w:rFonts w:ascii="Arial" w:eastAsia="Times New Roman" w:hAnsi="Arial" w:cs="Arial"/>
                <w:sz w:val="16"/>
                <w:szCs w:val="16"/>
                <w:lang w:eastAsia="fr-FR"/>
              </w:rPr>
              <w:t>Royalties </w:t>
            </w:r>
          </w:p>
        </w:tc>
        <w:tc>
          <w:tcPr>
            <w:tcW w:w="837" w:type="dxa"/>
            <w:tcBorders>
              <w:top w:val="nil"/>
              <w:left w:val="nil"/>
              <w:bottom w:val="nil"/>
              <w:right w:val="nil"/>
            </w:tcBorders>
            <w:shd w:val="clear" w:color="000000" w:fill="FFFFFF"/>
            <w:noWrap/>
            <w:vAlign w:val="bottom"/>
            <w:hideMark/>
          </w:tcPr>
          <w:p w14:paraId="187D3806" w14:textId="77777777" w:rsidR="00776B6F" w:rsidRPr="00776B6F" w:rsidRDefault="00776B6F" w:rsidP="00776B6F">
            <w:pPr>
              <w:spacing w:after="0" w:line="240" w:lineRule="auto"/>
              <w:rPr>
                <w:rFonts w:ascii="Arial" w:eastAsia="Times New Roman" w:hAnsi="Arial" w:cs="Arial"/>
                <w:sz w:val="16"/>
                <w:szCs w:val="16"/>
                <w:lang w:eastAsia="fr-FR"/>
              </w:rPr>
            </w:pPr>
          </w:p>
        </w:tc>
        <w:tc>
          <w:tcPr>
            <w:tcW w:w="1320" w:type="dxa"/>
            <w:tcBorders>
              <w:top w:val="nil"/>
              <w:left w:val="single" w:sz="4" w:space="0" w:color="auto"/>
              <w:bottom w:val="single" w:sz="4" w:space="0" w:color="auto"/>
              <w:right w:val="single" w:sz="4" w:space="0" w:color="auto"/>
            </w:tcBorders>
            <w:shd w:val="clear" w:color="000000" w:fill="FFFFFF"/>
            <w:noWrap/>
            <w:vAlign w:val="bottom"/>
            <w:hideMark/>
          </w:tcPr>
          <w:p w14:paraId="16DAF7A7" w14:textId="77777777" w:rsidR="00776B6F" w:rsidRPr="00776B6F" w:rsidRDefault="00776B6F" w:rsidP="00776B6F">
            <w:pPr>
              <w:spacing w:after="0" w:line="240" w:lineRule="auto"/>
              <w:jc w:val="right"/>
              <w:rPr>
                <w:rFonts w:ascii="Arial" w:eastAsia="Times New Roman" w:hAnsi="Arial" w:cs="Arial"/>
                <w:sz w:val="16"/>
                <w:szCs w:val="16"/>
                <w:lang w:eastAsia="fr-FR"/>
              </w:rPr>
            </w:pPr>
            <w:r w:rsidRPr="00776B6F">
              <w:rPr>
                <w:rFonts w:ascii="Arial" w:eastAsia="Times New Roman" w:hAnsi="Arial" w:cs="Arial"/>
                <w:sz w:val="16"/>
                <w:szCs w:val="16"/>
                <w:lang w:eastAsia="fr-FR"/>
              </w:rPr>
              <w:t>-6 423 526</w:t>
            </w:r>
          </w:p>
        </w:tc>
        <w:tc>
          <w:tcPr>
            <w:tcW w:w="216" w:type="dxa"/>
            <w:tcBorders>
              <w:top w:val="nil"/>
              <w:left w:val="nil"/>
              <w:bottom w:val="nil"/>
              <w:right w:val="nil"/>
            </w:tcBorders>
            <w:shd w:val="clear" w:color="000000" w:fill="FFFFFF"/>
            <w:noWrap/>
            <w:vAlign w:val="bottom"/>
            <w:hideMark/>
          </w:tcPr>
          <w:p w14:paraId="695B815B" w14:textId="77777777" w:rsidR="00776B6F" w:rsidRPr="00776B6F" w:rsidRDefault="00776B6F" w:rsidP="00776B6F">
            <w:pPr>
              <w:spacing w:after="0" w:line="240" w:lineRule="auto"/>
              <w:jc w:val="right"/>
              <w:rPr>
                <w:rFonts w:ascii="Arial" w:eastAsia="Times New Roman" w:hAnsi="Arial" w:cs="Arial"/>
                <w:sz w:val="16"/>
                <w:szCs w:val="16"/>
                <w:lang w:eastAsia="fr-FR"/>
              </w:rPr>
            </w:pPr>
          </w:p>
        </w:tc>
        <w:tc>
          <w:tcPr>
            <w:tcW w:w="1419" w:type="dxa"/>
            <w:tcBorders>
              <w:top w:val="nil"/>
              <w:left w:val="single" w:sz="4" w:space="0" w:color="auto"/>
              <w:bottom w:val="single" w:sz="4" w:space="0" w:color="auto"/>
              <w:right w:val="single" w:sz="4" w:space="0" w:color="auto"/>
            </w:tcBorders>
            <w:shd w:val="clear" w:color="000000" w:fill="FFFFFF"/>
            <w:noWrap/>
            <w:vAlign w:val="bottom"/>
            <w:hideMark/>
          </w:tcPr>
          <w:p w14:paraId="767E6908" w14:textId="77777777" w:rsidR="00776B6F" w:rsidRPr="00776B6F" w:rsidRDefault="00776B6F" w:rsidP="00776B6F">
            <w:pPr>
              <w:spacing w:after="0" w:line="240" w:lineRule="auto"/>
              <w:jc w:val="right"/>
              <w:rPr>
                <w:rFonts w:ascii="Arial" w:eastAsia="Times New Roman" w:hAnsi="Arial" w:cs="Arial"/>
                <w:sz w:val="16"/>
                <w:szCs w:val="16"/>
                <w:lang w:eastAsia="fr-FR"/>
              </w:rPr>
            </w:pPr>
            <w:r w:rsidRPr="00776B6F">
              <w:rPr>
                <w:rFonts w:ascii="Arial" w:eastAsia="Times New Roman" w:hAnsi="Arial" w:cs="Arial"/>
                <w:sz w:val="16"/>
                <w:szCs w:val="16"/>
                <w:lang w:eastAsia="fr-FR"/>
              </w:rPr>
              <w:t>-4 548 335</w:t>
            </w:r>
          </w:p>
        </w:tc>
        <w:tc>
          <w:tcPr>
            <w:tcW w:w="216" w:type="dxa"/>
            <w:tcBorders>
              <w:top w:val="nil"/>
              <w:left w:val="nil"/>
              <w:bottom w:val="nil"/>
              <w:right w:val="nil"/>
            </w:tcBorders>
            <w:shd w:val="clear" w:color="000000" w:fill="FFFFFF"/>
            <w:noWrap/>
            <w:vAlign w:val="bottom"/>
            <w:hideMark/>
          </w:tcPr>
          <w:p w14:paraId="6A90441A" w14:textId="77777777" w:rsidR="00776B6F" w:rsidRPr="00776B6F" w:rsidRDefault="00776B6F" w:rsidP="00776B6F">
            <w:pPr>
              <w:spacing w:after="0" w:line="240" w:lineRule="auto"/>
              <w:jc w:val="right"/>
              <w:rPr>
                <w:rFonts w:ascii="Arial" w:eastAsia="Times New Roman" w:hAnsi="Arial" w:cs="Arial"/>
                <w:sz w:val="16"/>
                <w:szCs w:val="16"/>
                <w:lang w:eastAsia="fr-FR"/>
              </w:rPr>
            </w:pPr>
          </w:p>
        </w:tc>
        <w:tc>
          <w:tcPr>
            <w:tcW w:w="1419" w:type="dxa"/>
            <w:tcBorders>
              <w:top w:val="nil"/>
              <w:left w:val="single" w:sz="4" w:space="0" w:color="auto"/>
              <w:bottom w:val="single" w:sz="4" w:space="0" w:color="auto"/>
              <w:right w:val="single" w:sz="4" w:space="0" w:color="auto"/>
            </w:tcBorders>
            <w:shd w:val="clear" w:color="000000" w:fill="FFFFFF"/>
            <w:noWrap/>
            <w:vAlign w:val="bottom"/>
            <w:hideMark/>
          </w:tcPr>
          <w:p w14:paraId="3B917E60" w14:textId="77777777" w:rsidR="00776B6F" w:rsidRPr="00776B6F" w:rsidRDefault="00776B6F" w:rsidP="00776B6F">
            <w:pPr>
              <w:spacing w:after="0" w:line="240" w:lineRule="auto"/>
              <w:jc w:val="right"/>
              <w:rPr>
                <w:rFonts w:ascii="Arial" w:eastAsia="Times New Roman" w:hAnsi="Arial" w:cs="Arial"/>
                <w:sz w:val="16"/>
                <w:szCs w:val="16"/>
                <w:lang w:eastAsia="fr-FR"/>
              </w:rPr>
            </w:pPr>
            <w:r w:rsidRPr="00776B6F">
              <w:rPr>
                <w:rFonts w:ascii="Arial" w:eastAsia="Times New Roman" w:hAnsi="Arial" w:cs="Arial"/>
                <w:sz w:val="16"/>
                <w:szCs w:val="16"/>
                <w:lang w:eastAsia="fr-FR"/>
              </w:rPr>
              <w:t>-1 875 191</w:t>
            </w:r>
          </w:p>
        </w:tc>
        <w:tc>
          <w:tcPr>
            <w:tcW w:w="216" w:type="dxa"/>
            <w:tcBorders>
              <w:top w:val="nil"/>
              <w:left w:val="nil"/>
              <w:bottom w:val="nil"/>
              <w:right w:val="nil"/>
            </w:tcBorders>
            <w:shd w:val="clear" w:color="000000" w:fill="FFFFFF"/>
            <w:noWrap/>
            <w:vAlign w:val="bottom"/>
            <w:hideMark/>
          </w:tcPr>
          <w:p w14:paraId="57A9F60D" w14:textId="77777777" w:rsidR="00776B6F" w:rsidRPr="00776B6F" w:rsidRDefault="00776B6F" w:rsidP="00776B6F">
            <w:pPr>
              <w:spacing w:after="0" w:line="240" w:lineRule="auto"/>
              <w:jc w:val="right"/>
              <w:rPr>
                <w:rFonts w:ascii="Arial" w:eastAsia="Times New Roman" w:hAnsi="Arial" w:cs="Arial"/>
                <w:sz w:val="16"/>
                <w:szCs w:val="16"/>
                <w:lang w:eastAsia="fr-FR"/>
              </w:rPr>
            </w:pPr>
          </w:p>
        </w:tc>
        <w:tc>
          <w:tcPr>
            <w:tcW w:w="1491" w:type="dxa"/>
            <w:tcBorders>
              <w:top w:val="nil"/>
              <w:left w:val="single" w:sz="4" w:space="0" w:color="auto"/>
              <w:bottom w:val="single" w:sz="4" w:space="0" w:color="auto"/>
              <w:right w:val="single" w:sz="4" w:space="0" w:color="auto"/>
            </w:tcBorders>
            <w:shd w:val="clear" w:color="000000" w:fill="FFFFFF"/>
            <w:noWrap/>
            <w:vAlign w:val="bottom"/>
            <w:hideMark/>
          </w:tcPr>
          <w:p w14:paraId="2E512E03" w14:textId="77777777" w:rsidR="00776B6F" w:rsidRPr="00776B6F" w:rsidRDefault="00776B6F" w:rsidP="00776B6F">
            <w:pPr>
              <w:spacing w:after="0" w:line="240" w:lineRule="auto"/>
              <w:jc w:val="right"/>
              <w:rPr>
                <w:rFonts w:ascii="Arial" w:eastAsia="Times New Roman" w:hAnsi="Arial" w:cs="Arial"/>
                <w:sz w:val="16"/>
                <w:szCs w:val="16"/>
                <w:lang w:eastAsia="fr-FR"/>
              </w:rPr>
            </w:pPr>
            <w:r w:rsidRPr="00776B6F">
              <w:rPr>
                <w:rFonts w:ascii="Arial" w:eastAsia="Times New Roman" w:hAnsi="Arial" w:cs="Arial"/>
                <w:sz w:val="16"/>
                <w:szCs w:val="16"/>
                <w:lang w:eastAsia="fr-FR"/>
              </w:rPr>
              <w:t>41,2%</w:t>
            </w:r>
          </w:p>
        </w:tc>
      </w:tr>
      <w:tr w:rsidR="00B24460" w:rsidRPr="00776B6F" w14:paraId="7EE51BF8" w14:textId="77777777" w:rsidTr="0085523C">
        <w:trPr>
          <w:trHeight w:val="340"/>
        </w:trPr>
        <w:tc>
          <w:tcPr>
            <w:tcW w:w="31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124EE9" w14:textId="77777777" w:rsidR="00776B6F" w:rsidRPr="00776B6F" w:rsidRDefault="00776B6F" w:rsidP="00776B6F">
            <w:pPr>
              <w:spacing w:after="0" w:line="240" w:lineRule="auto"/>
              <w:rPr>
                <w:rFonts w:ascii="Arial" w:eastAsia="Times New Roman" w:hAnsi="Arial" w:cs="Arial"/>
                <w:b/>
                <w:bCs/>
                <w:sz w:val="16"/>
                <w:szCs w:val="16"/>
                <w:lang w:eastAsia="fr-FR"/>
              </w:rPr>
            </w:pPr>
            <w:proofErr w:type="spellStart"/>
            <w:r w:rsidRPr="00776B6F">
              <w:rPr>
                <w:rFonts w:ascii="Arial" w:eastAsia="Times New Roman" w:hAnsi="Arial" w:cs="Arial"/>
                <w:b/>
                <w:bCs/>
                <w:sz w:val="16"/>
                <w:szCs w:val="16"/>
                <w:lang w:eastAsia="fr-FR"/>
              </w:rPr>
              <w:t>Adjusted</w:t>
            </w:r>
            <w:proofErr w:type="spellEnd"/>
            <w:r w:rsidRPr="00776B6F">
              <w:rPr>
                <w:rFonts w:ascii="Arial" w:eastAsia="Times New Roman" w:hAnsi="Arial" w:cs="Arial"/>
                <w:b/>
                <w:bCs/>
                <w:sz w:val="16"/>
                <w:szCs w:val="16"/>
                <w:lang w:eastAsia="fr-FR"/>
              </w:rPr>
              <w:t xml:space="preserve"> net </w:t>
            </w:r>
            <w:proofErr w:type="spellStart"/>
            <w:r w:rsidRPr="00776B6F">
              <w:rPr>
                <w:rFonts w:ascii="Arial" w:eastAsia="Times New Roman" w:hAnsi="Arial" w:cs="Arial"/>
                <w:b/>
                <w:bCs/>
                <w:sz w:val="16"/>
                <w:szCs w:val="16"/>
                <w:lang w:eastAsia="fr-FR"/>
              </w:rPr>
              <w:t>margin</w:t>
            </w:r>
            <w:proofErr w:type="spellEnd"/>
            <w:r w:rsidRPr="00776B6F">
              <w:rPr>
                <w:rFonts w:ascii="Arial" w:eastAsia="Times New Roman" w:hAnsi="Arial" w:cs="Arial"/>
                <w:b/>
                <w:bCs/>
                <w:sz w:val="16"/>
                <w:szCs w:val="16"/>
                <w:lang w:eastAsia="fr-FR"/>
              </w:rPr>
              <w:t xml:space="preserve"> 4 </w:t>
            </w:r>
          </w:p>
        </w:tc>
        <w:tc>
          <w:tcPr>
            <w:tcW w:w="837" w:type="dxa"/>
            <w:tcBorders>
              <w:top w:val="nil"/>
              <w:left w:val="nil"/>
              <w:bottom w:val="nil"/>
              <w:right w:val="nil"/>
            </w:tcBorders>
            <w:shd w:val="clear" w:color="000000" w:fill="FFFFFF"/>
            <w:noWrap/>
            <w:vAlign w:val="bottom"/>
            <w:hideMark/>
          </w:tcPr>
          <w:p w14:paraId="1369F9D1" w14:textId="77777777" w:rsidR="00776B6F" w:rsidRPr="00776B6F" w:rsidRDefault="00776B6F" w:rsidP="00776B6F">
            <w:pPr>
              <w:spacing w:after="0" w:line="240" w:lineRule="auto"/>
              <w:rPr>
                <w:rFonts w:ascii="Arial" w:eastAsia="Times New Roman" w:hAnsi="Arial" w:cs="Arial"/>
                <w:b/>
                <w:bCs/>
                <w:sz w:val="16"/>
                <w:szCs w:val="16"/>
                <w:lang w:eastAsia="fr-FR"/>
              </w:rPr>
            </w:pPr>
          </w:p>
        </w:tc>
        <w:tc>
          <w:tcPr>
            <w:tcW w:w="132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A1911B" w14:textId="77777777" w:rsidR="00776B6F" w:rsidRPr="00776B6F" w:rsidRDefault="00776B6F" w:rsidP="00776B6F">
            <w:pPr>
              <w:spacing w:after="0" w:line="240" w:lineRule="auto"/>
              <w:jc w:val="right"/>
              <w:rPr>
                <w:rFonts w:ascii="Arial" w:eastAsia="Times New Roman" w:hAnsi="Arial" w:cs="Arial"/>
                <w:b/>
                <w:bCs/>
                <w:sz w:val="16"/>
                <w:szCs w:val="16"/>
                <w:lang w:eastAsia="fr-FR"/>
              </w:rPr>
            </w:pPr>
            <w:r w:rsidRPr="00776B6F">
              <w:rPr>
                <w:rFonts w:ascii="Arial" w:eastAsia="Times New Roman" w:hAnsi="Arial" w:cs="Arial"/>
                <w:b/>
                <w:bCs/>
                <w:sz w:val="16"/>
                <w:szCs w:val="16"/>
                <w:lang w:eastAsia="fr-FR"/>
              </w:rPr>
              <w:t>28 615 895</w:t>
            </w:r>
          </w:p>
        </w:tc>
        <w:tc>
          <w:tcPr>
            <w:tcW w:w="216" w:type="dxa"/>
            <w:tcBorders>
              <w:top w:val="nil"/>
              <w:left w:val="nil"/>
              <w:bottom w:val="nil"/>
              <w:right w:val="nil"/>
            </w:tcBorders>
            <w:shd w:val="clear" w:color="000000" w:fill="FFFFFF"/>
            <w:noWrap/>
            <w:vAlign w:val="bottom"/>
            <w:hideMark/>
          </w:tcPr>
          <w:p w14:paraId="4848A2E8" w14:textId="77777777" w:rsidR="00776B6F" w:rsidRPr="00776B6F" w:rsidRDefault="00776B6F" w:rsidP="00776B6F">
            <w:pPr>
              <w:spacing w:after="0" w:line="240" w:lineRule="auto"/>
              <w:jc w:val="right"/>
              <w:rPr>
                <w:rFonts w:ascii="Arial" w:eastAsia="Times New Roman" w:hAnsi="Arial" w:cs="Arial"/>
                <w:b/>
                <w:bCs/>
                <w:sz w:val="16"/>
                <w:szCs w:val="16"/>
                <w:lang w:eastAsia="fr-FR"/>
              </w:rPr>
            </w:pPr>
          </w:p>
        </w:tc>
        <w:tc>
          <w:tcPr>
            <w:tcW w:w="141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9E7FEA" w14:textId="77777777" w:rsidR="00776B6F" w:rsidRPr="00776B6F" w:rsidRDefault="00776B6F" w:rsidP="00776B6F">
            <w:pPr>
              <w:spacing w:after="0" w:line="240" w:lineRule="auto"/>
              <w:jc w:val="right"/>
              <w:rPr>
                <w:rFonts w:ascii="Arial" w:eastAsia="Times New Roman" w:hAnsi="Arial" w:cs="Arial"/>
                <w:b/>
                <w:bCs/>
                <w:sz w:val="16"/>
                <w:szCs w:val="16"/>
                <w:lang w:eastAsia="fr-FR"/>
              </w:rPr>
            </w:pPr>
            <w:r w:rsidRPr="00776B6F">
              <w:rPr>
                <w:rFonts w:ascii="Arial" w:eastAsia="Times New Roman" w:hAnsi="Arial" w:cs="Arial"/>
                <w:b/>
                <w:bCs/>
                <w:sz w:val="16"/>
                <w:szCs w:val="16"/>
                <w:lang w:eastAsia="fr-FR"/>
              </w:rPr>
              <w:t>22 628 310</w:t>
            </w:r>
          </w:p>
        </w:tc>
        <w:tc>
          <w:tcPr>
            <w:tcW w:w="216" w:type="dxa"/>
            <w:tcBorders>
              <w:top w:val="nil"/>
              <w:left w:val="nil"/>
              <w:bottom w:val="nil"/>
              <w:right w:val="nil"/>
            </w:tcBorders>
            <w:shd w:val="clear" w:color="000000" w:fill="FFFFFF"/>
            <w:noWrap/>
            <w:vAlign w:val="bottom"/>
            <w:hideMark/>
          </w:tcPr>
          <w:p w14:paraId="4C9E017C" w14:textId="77777777" w:rsidR="00776B6F" w:rsidRPr="00776B6F" w:rsidRDefault="00776B6F" w:rsidP="00776B6F">
            <w:pPr>
              <w:spacing w:after="0" w:line="240" w:lineRule="auto"/>
              <w:jc w:val="right"/>
              <w:rPr>
                <w:rFonts w:ascii="Arial" w:eastAsia="Times New Roman" w:hAnsi="Arial" w:cs="Arial"/>
                <w:b/>
                <w:bCs/>
                <w:sz w:val="16"/>
                <w:szCs w:val="16"/>
                <w:lang w:eastAsia="fr-FR"/>
              </w:rPr>
            </w:pPr>
          </w:p>
        </w:tc>
        <w:tc>
          <w:tcPr>
            <w:tcW w:w="141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ABC4D7" w14:textId="77777777" w:rsidR="00776B6F" w:rsidRPr="00776B6F" w:rsidRDefault="00776B6F" w:rsidP="00776B6F">
            <w:pPr>
              <w:spacing w:after="0" w:line="240" w:lineRule="auto"/>
              <w:jc w:val="right"/>
              <w:rPr>
                <w:rFonts w:ascii="Arial" w:eastAsia="Times New Roman" w:hAnsi="Arial" w:cs="Arial"/>
                <w:b/>
                <w:bCs/>
                <w:sz w:val="16"/>
                <w:szCs w:val="16"/>
                <w:lang w:eastAsia="fr-FR"/>
              </w:rPr>
            </w:pPr>
            <w:r w:rsidRPr="00776B6F">
              <w:rPr>
                <w:rFonts w:ascii="Arial" w:eastAsia="Times New Roman" w:hAnsi="Arial" w:cs="Arial"/>
                <w:b/>
                <w:bCs/>
                <w:sz w:val="16"/>
                <w:szCs w:val="16"/>
                <w:lang w:eastAsia="fr-FR"/>
              </w:rPr>
              <w:t>5 987 585</w:t>
            </w:r>
          </w:p>
        </w:tc>
        <w:tc>
          <w:tcPr>
            <w:tcW w:w="216" w:type="dxa"/>
            <w:tcBorders>
              <w:top w:val="nil"/>
              <w:left w:val="nil"/>
              <w:bottom w:val="nil"/>
              <w:right w:val="nil"/>
            </w:tcBorders>
            <w:shd w:val="clear" w:color="000000" w:fill="FFFFFF"/>
            <w:noWrap/>
            <w:vAlign w:val="bottom"/>
            <w:hideMark/>
          </w:tcPr>
          <w:p w14:paraId="2CAB614B" w14:textId="77777777" w:rsidR="00776B6F" w:rsidRPr="00776B6F" w:rsidRDefault="00776B6F" w:rsidP="00776B6F">
            <w:pPr>
              <w:spacing w:after="0" w:line="240" w:lineRule="auto"/>
              <w:jc w:val="right"/>
              <w:rPr>
                <w:rFonts w:ascii="Arial" w:eastAsia="Times New Roman" w:hAnsi="Arial" w:cs="Arial"/>
                <w:b/>
                <w:bCs/>
                <w:sz w:val="16"/>
                <w:szCs w:val="16"/>
                <w:lang w:eastAsia="fr-FR"/>
              </w:rPr>
            </w:pPr>
          </w:p>
        </w:tc>
        <w:tc>
          <w:tcPr>
            <w:tcW w:w="149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C05762" w14:textId="77777777" w:rsidR="00776B6F" w:rsidRPr="00776B6F" w:rsidRDefault="00776B6F" w:rsidP="00776B6F">
            <w:pPr>
              <w:spacing w:after="0" w:line="240" w:lineRule="auto"/>
              <w:jc w:val="right"/>
              <w:rPr>
                <w:rFonts w:ascii="Arial" w:eastAsia="Times New Roman" w:hAnsi="Arial" w:cs="Arial"/>
                <w:b/>
                <w:bCs/>
                <w:sz w:val="16"/>
                <w:szCs w:val="16"/>
                <w:lang w:eastAsia="fr-FR"/>
              </w:rPr>
            </w:pPr>
            <w:r w:rsidRPr="00776B6F">
              <w:rPr>
                <w:rFonts w:ascii="Arial" w:eastAsia="Times New Roman" w:hAnsi="Arial" w:cs="Arial"/>
                <w:b/>
                <w:bCs/>
                <w:sz w:val="16"/>
                <w:szCs w:val="16"/>
                <w:lang w:eastAsia="fr-FR"/>
              </w:rPr>
              <w:t>26,5%</w:t>
            </w:r>
          </w:p>
        </w:tc>
      </w:tr>
      <w:tr w:rsidR="00B24460" w:rsidRPr="00776B6F" w14:paraId="1F03FC29" w14:textId="77777777" w:rsidTr="0085523C">
        <w:trPr>
          <w:trHeight w:val="340"/>
        </w:trPr>
        <w:tc>
          <w:tcPr>
            <w:tcW w:w="31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6F0356" w14:textId="77777777" w:rsidR="00776B6F" w:rsidRPr="00776B6F" w:rsidRDefault="00776B6F" w:rsidP="00776B6F">
            <w:pPr>
              <w:spacing w:after="0" w:line="240" w:lineRule="auto"/>
              <w:rPr>
                <w:rFonts w:ascii="Arial" w:eastAsia="Times New Roman" w:hAnsi="Arial" w:cs="Arial"/>
                <w:b/>
                <w:bCs/>
                <w:sz w:val="16"/>
                <w:szCs w:val="16"/>
                <w:lang w:eastAsia="fr-FR"/>
              </w:rPr>
            </w:pPr>
            <w:proofErr w:type="spellStart"/>
            <w:r w:rsidRPr="00776B6F">
              <w:rPr>
                <w:rFonts w:ascii="Arial" w:eastAsia="Times New Roman" w:hAnsi="Arial" w:cs="Arial"/>
                <w:b/>
                <w:bCs/>
                <w:sz w:val="16"/>
                <w:szCs w:val="16"/>
                <w:lang w:eastAsia="fr-FR"/>
              </w:rPr>
              <w:t>Adjusted</w:t>
            </w:r>
            <w:proofErr w:type="spellEnd"/>
            <w:r w:rsidRPr="00776B6F">
              <w:rPr>
                <w:rFonts w:ascii="Arial" w:eastAsia="Times New Roman" w:hAnsi="Arial" w:cs="Arial"/>
                <w:b/>
                <w:bCs/>
                <w:sz w:val="16"/>
                <w:szCs w:val="16"/>
                <w:lang w:eastAsia="fr-FR"/>
              </w:rPr>
              <w:t xml:space="preserve"> net </w:t>
            </w:r>
            <w:proofErr w:type="spellStart"/>
            <w:r w:rsidRPr="00776B6F">
              <w:rPr>
                <w:rFonts w:ascii="Arial" w:eastAsia="Times New Roman" w:hAnsi="Arial" w:cs="Arial"/>
                <w:b/>
                <w:bCs/>
                <w:sz w:val="16"/>
                <w:szCs w:val="16"/>
                <w:lang w:eastAsia="fr-FR"/>
              </w:rPr>
              <w:t>margin</w:t>
            </w:r>
            <w:proofErr w:type="spellEnd"/>
            <w:r w:rsidRPr="00776B6F">
              <w:rPr>
                <w:rFonts w:ascii="Arial" w:eastAsia="Times New Roman" w:hAnsi="Arial" w:cs="Arial"/>
                <w:b/>
                <w:bCs/>
                <w:sz w:val="16"/>
                <w:szCs w:val="16"/>
                <w:lang w:eastAsia="fr-FR"/>
              </w:rPr>
              <w:t xml:space="preserve"> 4 </w:t>
            </w:r>
          </w:p>
        </w:tc>
        <w:tc>
          <w:tcPr>
            <w:tcW w:w="837" w:type="dxa"/>
            <w:tcBorders>
              <w:top w:val="nil"/>
              <w:left w:val="nil"/>
              <w:bottom w:val="nil"/>
              <w:right w:val="nil"/>
            </w:tcBorders>
            <w:shd w:val="clear" w:color="000000" w:fill="FFFFFF"/>
            <w:noWrap/>
            <w:vAlign w:val="bottom"/>
            <w:hideMark/>
          </w:tcPr>
          <w:p w14:paraId="5BDFD906" w14:textId="77777777" w:rsidR="00776B6F" w:rsidRPr="00776B6F" w:rsidRDefault="00776B6F" w:rsidP="00776B6F">
            <w:pPr>
              <w:spacing w:after="0" w:line="240" w:lineRule="auto"/>
              <w:rPr>
                <w:rFonts w:ascii="Arial" w:eastAsia="Times New Roman" w:hAnsi="Arial" w:cs="Arial"/>
                <w:b/>
                <w:bCs/>
                <w:sz w:val="16"/>
                <w:szCs w:val="16"/>
                <w:lang w:eastAsia="fr-FR"/>
              </w:rPr>
            </w:pPr>
          </w:p>
        </w:tc>
        <w:tc>
          <w:tcPr>
            <w:tcW w:w="132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95B2C4" w14:textId="77777777" w:rsidR="00776B6F" w:rsidRPr="00776B6F" w:rsidRDefault="00776B6F" w:rsidP="00776B6F">
            <w:pPr>
              <w:spacing w:after="0" w:line="240" w:lineRule="auto"/>
              <w:jc w:val="right"/>
              <w:rPr>
                <w:rFonts w:ascii="Arial" w:eastAsia="Times New Roman" w:hAnsi="Arial" w:cs="Arial"/>
                <w:b/>
                <w:bCs/>
                <w:sz w:val="16"/>
                <w:szCs w:val="16"/>
                <w:lang w:eastAsia="fr-FR"/>
              </w:rPr>
            </w:pPr>
            <w:r w:rsidRPr="00776B6F">
              <w:rPr>
                <w:rFonts w:ascii="Arial" w:eastAsia="Times New Roman" w:hAnsi="Arial" w:cs="Arial"/>
                <w:b/>
                <w:bCs/>
                <w:sz w:val="16"/>
                <w:szCs w:val="16"/>
                <w:lang w:eastAsia="fr-FR"/>
              </w:rPr>
              <w:t>38,7%</w:t>
            </w:r>
          </w:p>
        </w:tc>
        <w:tc>
          <w:tcPr>
            <w:tcW w:w="216" w:type="dxa"/>
            <w:tcBorders>
              <w:top w:val="nil"/>
              <w:left w:val="nil"/>
              <w:bottom w:val="nil"/>
              <w:right w:val="nil"/>
            </w:tcBorders>
            <w:shd w:val="clear" w:color="000000" w:fill="FFFFFF"/>
            <w:noWrap/>
            <w:vAlign w:val="bottom"/>
            <w:hideMark/>
          </w:tcPr>
          <w:p w14:paraId="4AF7DF25" w14:textId="77777777" w:rsidR="00776B6F" w:rsidRPr="00776B6F" w:rsidRDefault="00776B6F" w:rsidP="00776B6F">
            <w:pPr>
              <w:spacing w:after="0" w:line="240" w:lineRule="auto"/>
              <w:jc w:val="right"/>
              <w:rPr>
                <w:rFonts w:ascii="Arial" w:eastAsia="Times New Roman" w:hAnsi="Arial" w:cs="Arial"/>
                <w:b/>
                <w:bCs/>
                <w:sz w:val="16"/>
                <w:szCs w:val="16"/>
                <w:lang w:eastAsia="fr-FR"/>
              </w:rPr>
            </w:pPr>
          </w:p>
        </w:tc>
        <w:tc>
          <w:tcPr>
            <w:tcW w:w="141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387565" w14:textId="77777777" w:rsidR="00776B6F" w:rsidRPr="00776B6F" w:rsidRDefault="00776B6F" w:rsidP="00776B6F">
            <w:pPr>
              <w:spacing w:after="0" w:line="240" w:lineRule="auto"/>
              <w:jc w:val="right"/>
              <w:rPr>
                <w:rFonts w:ascii="Arial" w:eastAsia="Times New Roman" w:hAnsi="Arial" w:cs="Arial"/>
                <w:b/>
                <w:bCs/>
                <w:sz w:val="16"/>
                <w:szCs w:val="16"/>
                <w:lang w:eastAsia="fr-FR"/>
              </w:rPr>
            </w:pPr>
            <w:r w:rsidRPr="00776B6F">
              <w:rPr>
                <w:rFonts w:ascii="Arial" w:eastAsia="Times New Roman" w:hAnsi="Arial" w:cs="Arial"/>
                <w:b/>
                <w:bCs/>
                <w:sz w:val="16"/>
                <w:szCs w:val="16"/>
                <w:lang w:eastAsia="fr-FR"/>
              </w:rPr>
              <w:t>38,6%</w:t>
            </w:r>
          </w:p>
        </w:tc>
        <w:tc>
          <w:tcPr>
            <w:tcW w:w="216" w:type="dxa"/>
            <w:tcBorders>
              <w:top w:val="nil"/>
              <w:left w:val="nil"/>
              <w:bottom w:val="nil"/>
              <w:right w:val="nil"/>
            </w:tcBorders>
            <w:shd w:val="clear" w:color="000000" w:fill="FFFFFF"/>
            <w:noWrap/>
            <w:vAlign w:val="bottom"/>
            <w:hideMark/>
          </w:tcPr>
          <w:p w14:paraId="6AFC6D32" w14:textId="77777777" w:rsidR="00776B6F" w:rsidRPr="00776B6F" w:rsidRDefault="00776B6F" w:rsidP="00776B6F">
            <w:pPr>
              <w:spacing w:after="0" w:line="240" w:lineRule="auto"/>
              <w:jc w:val="right"/>
              <w:rPr>
                <w:rFonts w:ascii="Arial" w:eastAsia="Times New Roman" w:hAnsi="Arial" w:cs="Arial"/>
                <w:b/>
                <w:bCs/>
                <w:sz w:val="16"/>
                <w:szCs w:val="16"/>
                <w:lang w:eastAsia="fr-FR"/>
              </w:rPr>
            </w:pPr>
          </w:p>
        </w:tc>
        <w:tc>
          <w:tcPr>
            <w:tcW w:w="141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F5F845" w14:textId="77777777" w:rsidR="00776B6F" w:rsidRPr="00776B6F" w:rsidRDefault="00776B6F" w:rsidP="00776B6F">
            <w:pPr>
              <w:spacing w:after="0" w:line="240" w:lineRule="auto"/>
              <w:rPr>
                <w:rFonts w:ascii="Times New Roman" w:eastAsia="Times New Roman" w:hAnsi="Times New Roman"/>
                <w:sz w:val="16"/>
                <w:szCs w:val="16"/>
                <w:lang w:eastAsia="fr-FR"/>
              </w:rPr>
            </w:pPr>
          </w:p>
        </w:tc>
        <w:tc>
          <w:tcPr>
            <w:tcW w:w="216" w:type="dxa"/>
            <w:tcBorders>
              <w:top w:val="nil"/>
              <w:left w:val="nil"/>
              <w:bottom w:val="nil"/>
              <w:right w:val="nil"/>
            </w:tcBorders>
            <w:shd w:val="clear" w:color="000000" w:fill="FFFFFF"/>
            <w:noWrap/>
            <w:vAlign w:val="bottom"/>
            <w:hideMark/>
          </w:tcPr>
          <w:p w14:paraId="2742587E" w14:textId="77777777" w:rsidR="00776B6F" w:rsidRPr="00776B6F" w:rsidRDefault="00776B6F" w:rsidP="00776B6F">
            <w:pPr>
              <w:spacing w:after="0" w:line="240" w:lineRule="auto"/>
              <w:rPr>
                <w:rFonts w:ascii="Times New Roman" w:eastAsia="Times New Roman" w:hAnsi="Times New Roman"/>
                <w:sz w:val="16"/>
                <w:szCs w:val="16"/>
                <w:lang w:eastAsia="fr-FR"/>
              </w:rPr>
            </w:pPr>
          </w:p>
        </w:tc>
        <w:tc>
          <w:tcPr>
            <w:tcW w:w="149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49A321" w14:textId="77777777" w:rsidR="00776B6F" w:rsidRPr="00776B6F" w:rsidRDefault="00776B6F" w:rsidP="00776B6F">
            <w:pPr>
              <w:spacing w:after="0" w:line="240" w:lineRule="auto"/>
              <w:jc w:val="right"/>
              <w:rPr>
                <w:rFonts w:ascii="Arial" w:eastAsia="Times New Roman" w:hAnsi="Arial" w:cs="Arial"/>
                <w:b/>
                <w:bCs/>
                <w:sz w:val="16"/>
                <w:szCs w:val="16"/>
                <w:lang w:eastAsia="fr-FR"/>
              </w:rPr>
            </w:pPr>
            <w:r w:rsidRPr="00776B6F">
              <w:rPr>
                <w:rFonts w:ascii="Arial" w:eastAsia="Times New Roman" w:hAnsi="Arial" w:cs="Arial"/>
                <w:b/>
                <w:bCs/>
                <w:sz w:val="16"/>
                <w:szCs w:val="16"/>
                <w:lang w:eastAsia="fr-FR"/>
              </w:rPr>
              <w:t>0,2%</w:t>
            </w:r>
          </w:p>
        </w:tc>
      </w:tr>
    </w:tbl>
    <w:p w14:paraId="3164FD6D" w14:textId="4E33BFFC" w:rsidR="0369AF28" w:rsidRPr="00776B6F" w:rsidRDefault="0369AF28" w:rsidP="0369AF28">
      <w:pPr>
        <w:spacing w:line="240" w:lineRule="atLeast"/>
        <w:jc w:val="both"/>
        <w:rPr>
          <w:lang w:val="en-US"/>
        </w:rPr>
      </w:pPr>
    </w:p>
    <w:p w14:paraId="5C369484" w14:textId="51414513" w:rsidR="0369AF28" w:rsidRDefault="0369AF28" w:rsidP="0369AF28">
      <w:pPr>
        <w:spacing w:line="240" w:lineRule="atLeast"/>
        <w:jc w:val="both"/>
        <w:rPr>
          <w:rFonts w:asciiTheme="minorHAnsi" w:hAnsiTheme="minorHAnsi" w:cstheme="minorBidi"/>
          <w:sz w:val="24"/>
          <w:szCs w:val="24"/>
          <w:lang w:val="en-US"/>
        </w:rPr>
      </w:pPr>
    </w:p>
    <w:p w14:paraId="182218BF" w14:textId="36EF1F8D" w:rsidR="5308BC86" w:rsidRDefault="5308BC86" w:rsidP="0369AF28">
      <w:pPr>
        <w:spacing w:after="0" w:line="240" w:lineRule="auto"/>
        <w:jc w:val="both"/>
        <w:rPr>
          <w:rFonts w:asciiTheme="minorHAnsi" w:hAnsiTheme="minorHAnsi" w:cstheme="minorBidi"/>
          <w:sz w:val="24"/>
          <w:szCs w:val="24"/>
          <w:lang w:val="en-US"/>
        </w:rPr>
      </w:pPr>
      <w:r w:rsidRPr="0369AF28">
        <w:rPr>
          <w:rFonts w:asciiTheme="minorHAnsi" w:hAnsiTheme="minorHAnsi" w:cstheme="minorBidi"/>
          <w:sz w:val="24"/>
          <w:szCs w:val="24"/>
          <w:lang w:val="en-US"/>
        </w:rPr>
        <w:t>The increase in gross margin is partially reflected in the adjusted net margin 4, which amounts to €28.6M vs €22.6M a year earlier, given increased advertising investments and the higher share of licensed products in total revenue.</w:t>
      </w:r>
    </w:p>
    <w:p w14:paraId="6EA028C3" w14:textId="4C0AEB49" w:rsidR="5308BC86" w:rsidRPr="004B564A" w:rsidRDefault="5308BC86" w:rsidP="0369AF28">
      <w:pPr>
        <w:spacing w:after="0" w:line="240" w:lineRule="auto"/>
        <w:jc w:val="both"/>
        <w:rPr>
          <w:lang w:val="en-US"/>
        </w:rPr>
      </w:pPr>
      <w:r w:rsidRPr="0369AF28">
        <w:rPr>
          <w:rFonts w:asciiTheme="minorHAnsi" w:hAnsiTheme="minorHAnsi" w:cstheme="minorBidi"/>
          <w:sz w:val="24"/>
          <w:szCs w:val="24"/>
          <w:lang w:val="en-US"/>
        </w:rPr>
        <w:t xml:space="preserve"> </w:t>
      </w:r>
    </w:p>
    <w:p w14:paraId="2E5A4D9A" w14:textId="3BC4BA27" w:rsidR="5308BC86" w:rsidRPr="004B564A" w:rsidRDefault="5308BC86" w:rsidP="0369AF28">
      <w:pPr>
        <w:spacing w:after="0" w:line="240" w:lineRule="auto"/>
        <w:jc w:val="both"/>
        <w:rPr>
          <w:rFonts w:asciiTheme="minorHAnsi" w:hAnsiTheme="minorHAnsi" w:cstheme="minorBidi"/>
          <w:b/>
          <w:bCs/>
          <w:color w:val="0254A5"/>
          <w:u w:val="single"/>
          <w:lang w:val="en-US"/>
        </w:rPr>
      </w:pPr>
      <w:r w:rsidRPr="004B564A">
        <w:rPr>
          <w:rFonts w:asciiTheme="minorHAnsi" w:hAnsiTheme="minorHAnsi" w:cstheme="minorBidi"/>
          <w:b/>
          <w:bCs/>
          <w:color w:val="0254A5"/>
          <w:u w:val="single"/>
          <w:lang w:val="en-US"/>
        </w:rPr>
        <w:t>EBITDA:</w:t>
      </w:r>
    </w:p>
    <w:p w14:paraId="259460BD" w14:textId="3D62A478" w:rsidR="5308BC86" w:rsidRPr="004B564A" w:rsidRDefault="5308BC86" w:rsidP="0369AF28">
      <w:pPr>
        <w:spacing w:after="0" w:line="240" w:lineRule="auto"/>
        <w:jc w:val="both"/>
        <w:rPr>
          <w:lang w:val="en-US"/>
        </w:rPr>
      </w:pPr>
      <w:r w:rsidRPr="0369AF28">
        <w:rPr>
          <w:rFonts w:asciiTheme="minorHAnsi" w:hAnsiTheme="minorHAnsi" w:cstheme="minorBidi"/>
          <w:sz w:val="24"/>
          <w:szCs w:val="24"/>
          <w:lang w:val="en-US"/>
        </w:rPr>
        <w:t xml:space="preserve"> </w:t>
      </w:r>
    </w:p>
    <w:p w14:paraId="070DD13B" w14:textId="6AE7AF67" w:rsidR="5308BC86" w:rsidRPr="004B564A" w:rsidRDefault="5308BC86" w:rsidP="0369AF28">
      <w:pPr>
        <w:spacing w:after="0" w:line="240" w:lineRule="auto"/>
        <w:jc w:val="both"/>
        <w:rPr>
          <w:lang w:val="en-US"/>
        </w:rPr>
      </w:pPr>
      <w:r w:rsidRPr="0369AF28">
        <w:rPr>
          <w:rFonts w:asciiTheme="minorHAnsi" w:hAnsiTheme="minorHAnsi" w:cstheme="minorBidi"/>
          <w:sz w:val="24"/>
          <w:szCs w:val="24"/>
          <w:lang w:val="en-US"/>
        </w:rPr>
        <w:t>EBITDA, profit before taxes, financial interests, depreciation and amortization, is up 30.3% to €9.7M vs €7.5M.</w:t>
      </w:r>
    </w:p>
    <w:p w14:paraId="7A16F853" w14:textId="248802E4" w:rsidR="5308BC86" w:rsidRPr="004B564A" w:rsidRDefault="5308BC86" w:rsidP="0369AF28">
      <w:pPr>
        <w:spacing w:after="0" w:line="240" w:lineRule="auto"/>
        <w:jc w:val="both"/>
        <w:rPr>
          <w:lang w:val="en-US"/>
        </w:rPr>
      </w:pPr>
      <w:r w:rsidRPr="0369AF28">
        <w:rPr>
          <w:rFonts w:asciiTheme="minorHAnsi" w:hAnsiTheme="minorHAnsi" w:cstheme="minorBidi"/>
          <w:sz w:val="24"/>
          <w:szCs w:val="24"/>
          <w:lang w:val="en-US"/>
        </w:rPr>
        <w:t xml:space="preserve"> </w:t>
      </w:r>
    </w:p>
    <w:p w14:paraId="4EDF2E07" w14:textId="46DF9C93" w:rsidR="5308BC86" w:rsidRPr="004B564A" w:rsidRDefault="5308BC86" w:rsidP="0369AF28">
      <w:pPr>
        <w:spacing w:after="0" w:line="240" w:lineRule="auto"/>
        <w:jc w:val="both"/>
        <w:rPr>
          <w:rFonts w:asciiTheme="minorHAnsi" w:hAnsiTheme="minorHAnsi" w:cstheme="minorBidi"/>
          <w:b/>
          <w:bCs/>
          <w:color w:val="0254A5"/>
          <w:u w:val="single"/>
          <w:lang w:val="en-US"/>
        </w:rPr>
      </w:pPr>
      <w:r w:rsidRPr="004B564A">
        <w:rPr>
          <w:rFonts w:asciiTheme="minorHAnsi" w:hAnsiTheme="minorHAnsi" w:cstheme="minorBidi"/>
          <w:b/>
          <w:bCs/>
          <w:color w:val="0254A5"/>
          <w:u w:val="single"/>
          <w:lang w:val="en-US"/>
        </w:rPr>
        <w:t>Operating result:</w:t>
      </w:r>
    </w:p>
    <w:p w14:paraId="54614B9B" w14:textId="11F9EF30" w:rsidR="5308BC86" w:rsidRPr="004B564A" w:rsidRDefault="5308BC86" w:rsidP="0369AF28">
      <w:pPr>
        <w:spacing w:after="0" w:line="240" w:lineRule="auto"/>
        <w:jc w:val="both"/>
        <w:rPr>
          <w:lang w:val="en-US"/>
        </w:rPr>
      </w:pPr>
      <w:r w:rsidRPr="0369AF28">
        <w:rPr>
          <w:rFonts w:asciiTheme="minorHAnsi" w:hAnsiTheme="minorHAnsi" w:cstheme="minorBidi"/>
          <w:sz w:val="24"/>
          <w:szCs w:val="24"/>
          <w:lang w:val="en-US"/>
        </w:rPr>
        <w:t xml:space="preserve"> </w:t>
      </w:r>
    </w:p>
    <w:p w14:paraId="5F19E3AF" w14:textId="14029936" w:rsidR="5308BC86" w:rsidRPr="004B564A" w:rsidRDefault="5308BC86" w:rsidP="0369AF28">
      <w:pPr>
        <w:spacing w:after="0" w:line="240" w:lineRule="auto"/>
        <w:jc w:val="both"/>
        <w:rPr>
          <w:lang w:val="en-US"/>
        </w:rPr>
      </w:pPr>
      <w:r w:rsidRPr="2332995B">
        <w:rPr>
          <w:rFonts w:asciiTheme="minorHAnsi" w:hAnsiTheme="minorHAnsi" w:cstheme="minorBidi"/>
          <w:sz w:val="24"/>
          <w:szCs w:val="24"/>
          <w:lang w:val="en-US"/>
        </w:rPr>
        <w:t>Benefiting from a positive dynamic, Lexibook renewed a major international digital advertising campaign that again generated more than one billion digital impressions in one year on its products in the EMEA zone, extended for the first time at the end of 2023 to the USA, offering the brand unparalleled awareness. Total advertising expenses including co-op advertising with customers therefore increased significantly by €1.</w:t>
      </w:r>
      <w:r w:rsidR="1174AC02" w:rsidRPr="2332995B">
        <w:rPr>
          <w:rFonts w:asciiTheme="minorHAnsi" w:hAnsiTheme="minorHAnsi" w:cstheme="minorBidi"/>
          <w:sz w:val="24"/>
          <w:szCs w:val="24"/>
          <w:lang w:val="en-US"/>
        </w:rPr>
        <w:t>9</w:t>
      </w:r>
      <w:r w:rsidRPr="2332995B">
        <w:rPr>
          <w:rFonts w:asciiTheme="minorHAnsi" w:hAnsiTheme="minorHAnsi" w:cstheme="minorBidi"/>
          <w:sz w:val="24"/>
          <w:szCs w:val="24"/>
          <w:lang w:val="en-US"/>
        </w:rPr>
        <w:t>M and reached €10.</w:t>
      </w:r>
      <w:r w:rsidR="25FE08E5" w:rsidRPr="2332995B">
        <w:rPr>
          <w:rFonts w:asciiTheme="minorHAnsi" w:hAnsiTheme="minorHAnsi" w:cstheme="minorBidi"/>
          <w:sz w:val="24"/>
          <w:szCs w:val="24"/>
          <w:lang w:val="en-US"/>
        </w:rPr>
        <w:t>8</w:t>
      </w:r>
      <w:r w:rsidRPr="2332995B">
        <w:rPr>
          <w:rFonts w:asciiTheme="minorHAnsi" w:hAnsiTheme="minorHAnsi" w:cstheme="minorBidi"/>
          <w:sz w:val="24"/>
          <w:szCs w:val="24"/>
          <w:lang w:val="en-US"/>
        </w:rPr>
        <w:t>M vs €8.</w:t>
      </w:r>
      <w:r w:rsidR="387B65A1" w:rsidRPr="2332995B">
        <w:rPr>
          <w:rFonts w:asciiTheme="minorHAnsi" w:hAnsiTheme="minorHAnsi" w:cstheme="minorBidi"/>
          <w:sz w:val="24"/>
          <w:szCs w:val="24"/>
          <w:lang w:val="en-US"/>
        </w:rPr>
        <w:t>9</w:t>
      </w:r>
      <w:r w:rsidRPr="2332995B">
        <w:rPr>
          <w:rFonts w:asciiTheme="minorHAnsi" w:hAnsiTheme="minorHAnsi" w:cstheme="minorBidi"/>
          <w:sz w:val="24"/>
          <w:szCs w:val="24"/>
          <w:lang w:val="en-US"/>
        </w:rPr>
        <w:t>M in N-1. External services remain at a high level of €22.4M, mainly due to increased advertising expenses and logistical services linked to the growth in business volume.</w:t>
      </w:r>
    </w:p>
    <w:p w14:paraId="3364B8CD" w14:textId="11040FB9" w:rsidR="5308BC86" w:rsidRPr="004B564A" w:rsidRDefault="5308BC86" w:rsidP="0369AF28">
      <w:pPr>
        <w:spacing w:after="0" w:line="240" w:lineRule="auto"/>
        <w:jc w:val="both"/>
        <w:rPr>
          <w:lang w:val="en-US"/>
        </w:rPr>
      </w:pPr>
      <w:r w:rsidRPr="0369AF28">
        <w:rPr>
          <w:rFonts w:asciiTheme="minorHAnsi" w:hAnsiTheme="minorHAnsi" w:cstheme="minorBidi"/>
          <w:sz w:val="24"/>
          <w:szCs w:val="24"/>
          <w:lang w:val="en-US"/>
        </w:rPr>
        <w:t xml:space="preserve"> </w:t>
      </w:r>
    </w:p>
    <w:p w14:paraId="256E9248" w14:textId="6ECBD54E" w:rsidR="5308BC86" w:rsidRPr="004B564A" w:rsidRDefault="5308BC86" w:rsidP="0369AF28">
      <w:pPr>
        <w:spacing w:after="0" w:line="240" w:lineRule="auto"/>
        <w:jc w:val="both"/>
        <w:rPr>
          <w:lang w:val="en-US"/>
        </w:rPr>
      </w:pPr>
      <w:r w:rsidRPr="0369AF28">
        <w:rPr>
          <w:rFonts w:asciiTheme="minorHAnsi" w:hAnsiTheme="minorHAnsi" w:cstheme="minorBidi"/>
          <w:sz w:val="24"/>
          <w:szCs w:val="24"/>
          <w:lang w:val="en-US"/>
        </w:rPr>
        <w:t xml:space="preserve">Personnel expenses increased by €0.5M, mainly due to bonuses provisioned </w:t>
      </w:r>
      <w:proofErr w:type="gramStart"/>
      <w:r w:rsidRPr="0369AF28">
        <w:rPr>
          <w:rFonts w:asciiTheme="minorHAnsi" w:hAnsiTheme="minorHAnsi" w:cstheme="minorBidi"/>
          <w:sz w:val="24"/>
          <w:szCs w:val="24"/>
          <w:lang w:val="en-US"/>
        </w:rPr>
        <w:t>in light of</w:t>
      </w:r>
      <w:proofErr w:type="gramEnd"/>
      <w:r w:rsidRPr="0369AF28">
        <w:rPr>
          <w:rFonts w:asciiTheme="minorHAnsi" w:hAnsiTheme="minorHAnsi" w:cstheme="minorBidi"/>
          <w:sz w:val="24"/>
          <w:szCs w:val="24"/>
          <w:lang w:val="en-US"/>
        </w:rPr>
        <w:t xml:space="preserve"> the increase in activity and the hiring of several employees.</w:t>
      </w:r>
    </w:p>
    <w:p w14:paraId="0F26AFE3" w14:textId="35F94B8D" w:rsidR="5308BC86" w:rsidRPr="004B564A" w:rsidRDefault="5308BC86" w:rsidP="0369AF28">
      <w:pPr>
        <w:spacing w:after="0" w:line="240" w:lineRule="auto"/>
        <w:jc w:val="both"/>
        <w:rPr>
          <w:lang w:val="en-US"/>
        </w:rPr>
      </w:pPr>
      <w:r w:rsidRPr="0369AF28">
        <w:rPr>
          <w:rFonts w:asciiTheme="minorHAnsi" w:hAnsiTheme="minorHAnsi" w:cstheme="minorBidi"/>
          <w:sz w:val="24"/>
          <w:szCs w:val="24"/>
          <w:lang w:val="en-US"/>
        </w:rPr>
        <w:t xml:space="preserve"> </w:t>
      </w:r>
    </w:p>
    <w:p w14:paraId="41985E41" w14:textId="7369F785" w:rsidR="5308BC86" w:rsidRPr="004B564A" w:rsidRDefault="5308BC86" w:rsidP="0369AF28">
      <w:pPr>
        <w:spacing w:after="0" w:line="240" w:lineRule="auto"/>
        <w:jc w:val="both"/>
        <w:rPr>
          <w:lang w:val="en-US"/>
        </w:rPr>
      </w:pPr>
      <w:r w:rsidRPr="0369AF28">
        <w:rPr>
          <w:rFonts w:asciiTheme="minorHAnsi" w:hAnsiTheme="minorHAnsi" w:cstheme="minorBidi"/>
          <w:sz w:val="24"/>
          <w:szCs w:val="24"/>
          <w:lang w:val="en-US"/>
        </w:rPr>
        <w:lastRenderedPageBreak/>
        <w:t>Other operating expenses increased by €2.3M, notably due to the €1.9M increase in royalty charges related to the rise in licensed product activity.</w:t>
      </w:r>
    </w:p>
    <w:p w14:paraId="63549256" w14:textId="307D5A92" w:rsidR="5308BC86" w:rsidRPr="004B564A" w:rsidRDefault="5308BC86" w:rsidP="0369AF28">
      <w:pPr>
        <w:spacing w:after="0" w:line="240" w:lineRule="auto"/>
        <w:jc w:val="both"/>
        <w:rPr>
          <w:lang w:val="en-US"/>
        </w:rPr>
      </w:pPr>
      <w:r w:rsidRPr="0369AF28">
        <w:rPr>
          <w:rFonts w:asciiTheme="minorHAnsi" w:hAnsiTheme="minorHAnsi" w:cstheme="minorBidi"/>
          <w:sz w:val="24"/>
          <w:szCs w:val="24"/>
          <w:lang w:val="en-US"/>
        </w:rPr>
        <w:t xml:space="preserve"> </w:t>
      </w:r>
    </w:p>
    <w:p w14:paraId="0BEF1307" w14:textId="0FE1B34B" w:rsidR="5308BC86" w:rsidRPr="004B564A" w:rsidRDefault="5308BC86" w:rsidP="0369AF28">
      <w:pPr>
        <w:spacing w:after="0" w:line="240" w:lineRule="auto"/>
        <w:jc w:val="both"/>
        <w:rPr>
          <w:lang w:val="en-US"/>
        </w:rPr>
      </w:pPr>
      <w:r w:rsidRPr="0369AF28">
        <w:rPr>
          <w:rFonts w:asciiTheme="minorHAnsi" w:hAnsiTheme="minorHAnsi" w:cstheme="minorBidi"/>
          <w:sz w:val="24"/>
          <w:szCs w:val="24"/>
          <w:lang w:val="en-US"/>
        </w:rPr>
        <w:t>Ultimately, thanks to the increase in margin and despite significant advertising investment made during the fiscal year, the Group’s operating profit increased faster than activity and reached €8.1M compared to €6.0M in N-1.</w:t>
      </w:r>
    </w:p>
    <w:p w14:paraId="1963FEAA" w14:textId="17DE4DD1" w:rsidR="5308BC86" w:rsidRPr="004B564A" w:rsidRDefault="5308BC86" w:rsidP="0369AF28">
      <w:pPr>
        <w:spacing w:after="0" w:line="240" w:lineRule="auto"/>
        <w:jc w:val="both"/>
        <w:rPr>
          <w:rFonts w:asciiTheme="minorHAnsi" w:hAnsiTheme="minorHAnsi" w:cstheme="minorBidi"/>
          <w:b/>
          <w:bCs/>
          <w:color w:val="0254A5"/>
          <w:u w:val="single"/>
          <w:lang w:val="en-US"/>
        </w:rPr>
      </w:pPr>
      <w:r w:rsidRPr="0369AF28">
        <w:rPr>
          <w:rFonts w:asciiTheme="minorHAnsi" w:hAnsiTheme="minorHAnsi" w:cstheme="minorBidi"/>
          <w:sz w:val="24"/>
          <w:szCs w:val="24"/>
          <w:lang w:val="en-US"/>
        </w:rPr>
        <w:t xml:space="preserve"> </w:t>
      </w:r>
    </w:p>
    <w:p w14:paraId="3A594478" w14:textId="5F0F9F02" w:rsidR="5308BC86" w:rsidRPr="004B564A" w:rsidRDefault="5308BC86" w:rsidP="0369AF28">
      <w:pPr>
        <w:spacing w:after="0" w:line="240" w:lineRule="auto"/>
        <w:jc w:val="both"/>
        <w:rPr>
          <w:rFonts w:asciiTheme="minorHAnsi" w:hAnsiTheme="minorHAnsi" w:cstheme="minorBidi"/>
          <w:b/>
          <w:bCs/>
          <w:color w:val="0254A5"/>
          <w:u w:val="single"/>
          <w:lang w:val="en-US"/>
        </w:rPr>
      </w:pPr>
      <w:r w:rsidRPr="004B564A">
        <w:rPr>
          <w:rFonts w:asciiTheme="minorHAnsi" w:hAnsiTheme="minorHAnsi" w:cstheme="minorBidi"/>
          <w:b/>
          <w:bCs/>
          <w:color w:val="0254A5"/>
          <w:u w:val="single"/>
          <w:lang w:val="en-US"/>
        </w:rPr>
        <w:t xml:space="preserve">Financial </w:t>
      </w:r>
      <w:proofErr w:type="gramStart"/>
      <w:r w:rsidRPr="004B564A">
        <w:rPr>
          <w:rFonts w:asciiTheme="minorHAnsi" w:hAnsiTheme="minorHAnsi" w:cstheme="minorBidi"/>
          <w:b/>
          <w:bCs/>
          <w:color w:val="0254A5"/>
          <w:u w:val="single"/>
          <w:lang w:val="en-US"/>
        </w:rPr>
        <w:t>result</w:t>
      </w:r>
      <w:proofErr w:type="gramEnd"/>
      <w:r w:rsidRPr="004B564A">
        <w:rPr>
          <w:rFonts w:asciiTheme="minorHAnsi" w:hAnsiTheme="minorHAnsi" w:cstheme="minorBidi"/>
          <w:b/>
          <w:bCs/>
          <w:color w:val="0254A5"/>
          <w:u w:val="single"/>
          <w:lang w:val="en-US"/>
        </w:rPr>
        <w:t>:</w:t>
      </w:r>
    </w:p>
    <w:p w14:paraId="54D21417" w14:textId="0E48E2DF" w:rsidR="5308BC86" w:rsidRPr="004B564A" w:rsidRDefault="5308BC86" w:rsidP="0369AF28">
      <w:pPr>
        <w:spacing w:after="0" w:line="240" w:lineRule="auto"/>
        <w:jc w:val="both"/>
        <w:rPr>
          <w:lang w:val="en-US"/>
        </w:rPr>
      </w:pPr>
      <w:r w:rsidRPr="0369AF28">
        <w:rPr>
          <w:rFonts w:asciiTheme="minorHAnsi" w:hAnsiTheme="minorHAnsi" w:cstheme="minorBidi"/>
          <w:sz w:val="24"/>
          <w:szCs w:val="24"/>
          <w:lang w:val="en-US"/>
        </w:rPr>
        <w:t xml:space="preserve"> </w:t>
      </w:r>
    </w:p>
    <w:p w14:paraId="7BE62AA7" w14:textId="2E20526B" w:rsidR="5308BC86" w:rsidRPr="004B564A" w:rsidRDefault="5308BC86" w:rsidP="0369AF28">
      <w:pPr>
        <w:spacing w:after="0" w:line="240" w:lineRule="auto"/>
        <w:jc w:val="both"/>
        <w:rPr>
          <w:lang w:val="en-US"/>
        </w:rPr>
      </w:pPr>
      <w:r w:rsidRPr="0369AF28">
        <w:rPr>
          <w:rFonts w:asciiTheme="minorHAnsi" w:hAnsiTheme="minorHAnsi" w:cstheme="minorBidi"/>
          <w:sz w:val="24"/>
          <w:szCs w:val="24"/>
          <w:lang w:val="en-US"/>
        </w:rPr>
        <w:t>The €419K improvement in the financial result mainly stems from the decrease in the cost of net debt (€305K in 2025 compared to €462K in 2024, an improvement of €157K) and from the drop in exchange losses (€917K in 2025 vs €2,581K in 2024, improving the net exchange impact by €173K). Despite the increase in activity, the cost of debt is down due to the optimization of the use of short-term financing lines and the reduction of medium-term loans. The Group also benefited for the second consecutive year from financial income related to the investment of its cash in term accounts after the Christmas season.</w:t>
      </w:r>
    </w:p>
    <w:p w14:paraId="16BCA0CA" w14:textId="2B99FCC8" w:rsidR="5308BC86" w:rsidRPr="004B564A" w:rsidRDefault="5308BC86" w:rsidP="0369AF28">
      <w:pPr>
        <w:spacing w:after="0" w:line="240" w:lineRule="auto"/>
        <w:jc w:val="both"/>
        <w:rPr>
          <w:lang w:val="en-US"/>
        </w:rPr>
      </w:pPr>
      <w:r w:rsidRPr="0369AF28">
        <w:rPr>
          <w:rFonts w:asciiTheme="minorHAnsi" w:hAnsiTheme="minorHAnsi" w:cstheme="minorBidi"/>
          <w:sz w:val="24"/>
          <w:szCs w:val="24"/>
          <w:lang w:val="en-US"/>
        </w:rPr>
        <w:t xml:space="preserve"> </w:t>
      </w:r>
    </w:p>
    <w:p w14:paraId="37197D23" w14:textId="1653A1CC" w:rsidR="5308BC86" w:rsidRPr="004B564A" w:rsidRDefault="5308BC86" w:rsidP="0369AF28">
      <w:pPr>
        <w:spacing w:after="0" w:line="240" w:lineRule="auto"/>
        <w:jc w:val="both"/>
        <w:rPr>
          <w:lang w:val="en-US"/>
        </w:rPr>
      </w:pPr>
      <w:r w:rsidRPr="0369AF28">
        <w:rPr>
          <w:rFonts w:asciiTheme="minorHAnsi" w:hAnsiTheme="minorHAnsi" w:cstheme="minorBidi"/>
          <w:sz w:val="24"/>
          <w:szCs w:val="24"/>
          <w:lang w:val="en-US"/>
        </w:rPr>
        <w:t>Taxes for the period represent a charge of €959K related to changes in the value of deferred tax assets for €183K and corporate income tax provisions of €1.1M.</w:t>
      </w:r>
    </w:p>
    <w:p w14:paraId="10BA152F" w14:textId="1457CE5D" w:rsidR="5308BC86" w:rsidRPr="004B564A" w:rsidRDefault="5308BC86" w:rsidP="0369AF28">
      <w:pPr>
        <w:spacing w:after="0" w:line="240" w:lineRule="auto"/>
        <w:jc w:val="both"/>
        <w:rPr>
          <w:lang w:val="en-US"/>
        </w:rPr>
      </w:pPr>
      <w:r w:rsidRPr="0369AF28">
        <w:rPr>
          <w:rFonts w:asciiTheme="minorHAnsi" w:hAnsiTheme="minorHAnsi" w:cstheme="minorBidi"/>
          <w:sz w:val="24"/>
          <w:szCs w:val="24"/>
          <w:lang w:val="en-US"/>
        </w:rPr>
        <w:t xml:space="preserve"> </w:t>
      </w:r>
    </w:p>
    <w:p w14:paraId="3B5F2D8D" w14:textId="02CD9F48" w:rsidR="5308BC86" w:rsidRPr="004B564A" w:rsidRDefault="5308BC86" w:rsidP="0369AF28">
      <w:pPr>
        <w:spacing w:after="0" w:line="240" w:lineRule="auto"/>
        <w:jc w:val="both"/>
        <w:rPr>
          <w:b/>
          <w:bCs/>
          <w:lang w:val="en-US"/>
        </w:rPr>
      </w:pPr>
      <w:r w:rsidRPr="004B564A">
        <w:rPr>
          <w:rFonts w:asciiTheme="minorHAnsi" w:hAnsiTheme="minorHAnsi" w:cstheme="minorBidi"/>
          <w:b/>
          <w:bCs/>
          <w:sz w:val="24"/>
          <w:szCs w:val="24"/>
          <w:lang w:val="en-US"/>
        </w:rPr>
        <w:t>In this context, the consolidated net income as of March 31, 2025, stands at €7.372M compared to €4.992M as of March 31, 2024.</w:t>
      </w:r>
    </w:p>
    <w:p w14:paraId="2B687EF7" w14:textId="52BBE8F6" w:rsidR="2332995B" w:rsidRDefault="5308BC86" w:rsidP="2332995B">
      <w:pPr>
        <w:spacing w:after="0" w:line="240" w:lineRule="auto"/>
        <w:jc w:val="both"/>
        <w:rPr>
          <w:b/>
          <w:bCs/>
          <w:lang w:val="en-US"/>
        </w:rPr>
      </w:pPr>
      <w:r w:rsidRPr="18214F01">
        <w:rPr>
          <w:rFonts w:asciiTheme="minorHAnsi" w:hAnsiTheme="minorHAnsi" w:cstheme="minorBidi"/>
          <w:b/>
          <w:bCs/>
          <w:sz w:val="24"/>
          <w:szCs w:val="24"/>
          <w:lang w:val="en-US"/>
        </w:rPr>
        <w:t xml:space="preserve"> </w:t>
      </w:r>
    </w:p>
    <w:p w14:paraId="61208DD5" w14:textId="2DA9FC98" w:rsidR="5308BC86" w:rsidRPr="009B501C" w:rsidRDefault="5308BC86" w:rsidP="0369AF28">
      <w:pPr>
        <w:spacing w:after="0" w:line="240" w:lineRule="auto"/>
        <w:jc w:val="both"/>
        <w:rPr>
          <w:rFonts w:asciiTheme="minorHAnsi" w:hAnsiTheme="minorHAnsi" w:cstheme="minorBidi"/>
          <w:b/>
          <w:bCs/>
          <w:color w:val="0254A5"/>
          <w:u w:val="single"/>
          <w:lang w:val="en-US"/>
        </w:rPr>
      </w:pPr>
      <w:r w:rsidRPr="009B501C">
        <w:rPr>
          <w:rFonts w:asciiTheme="minorHAnsi" w:hAnsiTheme="minorHAnsi" w:cstheme="minorBidi"/>
          <w:b/>
          <w:bCs/>
          <w:color w:val="0254A5"/>
          <w:u w:val="single"/>
          <w:lang w:val="en-US"/>
        </w:rPr>
        <w:t>Stock and debt level</w:t>
      </w:r>
    </w:p>
    <w:p w14:paraId="37D723E5" w14:textId="75E986B2" w:rsidR="5308BC86" w:rsidRPr="004B564A" w:rsidRDefault="5308BC86" w:rsidP="0369AF28">
      <w:pPr>
        <w:spacing w:after="0" w:line="240" w:lineRule="auto"/>
        <w:jc w:val="both"/>
        <w:rPr>
          <w:lang w:val="en-US"/>
        </w:rPr>
      </w:pPr>
      <w:r w:rsidRPr="0369AF28">
        <w:rPr>
          <w:rFonts w:asciiTheme="minorHAnsi" w:hAnsiTheme="minorHAnsi" w:cstheme="minorBidi"/>
          <w:sz w:val="24"/>
          <w:szCs w:val="24"/>
          <w:lang w:val="en-US"/>
        </w:rPr>
        <w:t xml:space="preserve"> </w:t>
      </w:r>
    </w:p>
    <w:p w14:paraId="16CD599E" w14:textId="4192948A" w:rsidR="5308BC86" w:rsidRPr="004B564A" w:rsidRDefault="5308BC86" w:rsidP="0369AF28">
      <w:pPr>
        <w:spacing w:after="0" w:line="240" w:lineRule="auto"/>
        <w:jc w:val="both"/>
        <w:rPr>
          <w:lang w:val="en-US"/>
        </w:rPr>
      </w:pPr>
      <w:r w:rsidRPr="0369AF28">
        <w:rPr>
          <w:rFonts w:asciiTheme="minorHAnsi" w:hAnsiTheme="minorHAnsi" w:cstheme="minorBidi"/>
          <w:sz w:val="24"/>
          <w:szCs w:val="24"/>
          <w:lang w:val="en-US"/>
        </w:rPr>
        <w:t>The stock level, net of impairment, stands at €17.0M as of March 31, 2025, up €5.2M compared to the previous year (€11.9M as of 03/31/2024). This increase is mainly due to higher business activity, as well as a strategy to strengthen inventories in the United States, where they reach €3.2M. This logistical anticipation aims to support commercial development in the American market while benefiting from a favorable effect linked to the entry of goods before the implementation of new customs duties. In France, inventories also increase by €3.8M to reach €13.6M in anticipation of the commercial operations expected in Q1 fiscal 2025-26 linked to the release of the Stitch movie.</w:t>
      </w:r>
    </w:p>
    <w:p w14:paraId="0DA77A94" w14:textId="2245C3AC" w:rsidR="5308BC86" w:rsidRPr="004B564A" w:rsidRDefault="5308BC86" w:rsidP="0369AF28">
      <w:pPr>
        <w:spacing w:after="0" w:line="240" w:lineRule="auto"/>
        <w:jc w:val="both"/>
        <w:rPr>
          <w:lang w:val="en-US"/>
        </w:rPr>
      </w:pPr>
      <w:r w:rsidRPr="0369AF28">
        <w:rPr>
          <w:rFonts w:asciiTheme="minorHAnsi" w:hAnsiTheme="minorHAnsi" w:cstheme="minorBidi"/>
          <w:sz w:val="24"/>
          <w:szCs w:val="24"/>
          <w:lang w:val="en-US"/>
        </w:rPr>
        <w:t xml:space="preserve"> </w:t>
      </w:r>
    </w:p>
    <w:p w14:paraId="2E176697" w14:textId="67FA1597" w:rsidR="5308BC86" w:rsidRPr="004B564A" w:rsidRDefault="5308BC86" w:rsidP="0369AF28">
      <w:pPr>
        <w:spacing w:after="0" w:line="240" w:lineRule="auto"/>
        <w:jc w:val="both"/>
        <w:rPr>
          <w:lang w:val="en-US"/>
        </w:rPr>
      </w:pPr>
      <w:r w:rsidRPr="0369AF28">
        <w:rPr>
          <w:rFonts w:asciiTheme="minorHAnsi" w:hAnsiTheme="minorHAnsi" w:cstheme="minorBidi"/>
          <w:sz w:val="24"/>
          <w:szCs w:val="24"/>
          <w:lang w:val="en-US"/>
        </w:rPr>
        <w:t xml:space="preserve">The average depreciation rate is 12.2% as of March 31, 2025, versus 12.2% as of March 31, 2024. This average rate remains stable to allow the Group to maintain </w:t>
      </w:r>
      <w:proofErr w:type="gramStart"/>
      <w:r w:rsidRPr="0369AF28">
        <w:rPr>
          <w:rFonts w:asciiTheme="minorHAnsi" w:hAnsiTheme="minorHAnsi" w:cstheme="minorBidi"/>
          <w:sz w:val="24"/>
          <w:szCs w:val="24"/>
          <w:lang w:val="en-US"/>
        </w:rPr>
        <w:t>healthy</w:t>
      </w:r>
      <w:proofErr w:type="gramEnd"/>
      <w:r w:rsidRPr="0369AF28">
        <w:rPr>
          <w:rFonts w:asciiTheme="minorHAnsi" w:hAnsiTheme="minorHAnsi" w:cstheme="minorBidi"/>
          <w:sz w:val="24"/>
          <w:szCs w:val="24"/>
          <w:lang w:val="en-US"/>
        </w:rPr>
        <w:t xml:space="preserve"> inventory and keep it below the 25% of revenue target.</w:t>
      </w:r>
    </w:p>
    <w:p w14:paraId="6B87C480" w14:textId="44D0DBFF" w:rsidR="5308BC86" w:rsidRPr="004B564A" w:rsidRDefault="5308BC86" w:rsidP="0369AF28">
      <w:pPr>
        <w:spacing w:after="0" w:line="240" w:lineRule="auto"/>
        <w:jc w:val="both"/>
        <w:rPr>
          <w:lang w:val="en-US"/>
        </w:rPr>
      </w:pPr>
      <w:r w:rsidRPr="0369AF28">
        <w:rPr>
          <w:rFonts w:asciiTheme="minorHAnsi" w:hAnsiTheme="minorHAnsi" w:cstheme="minorBidi"/>
          <w:sz w:val="24"/>
          <w:szCs w:val="24"/>
          <w:lang w:val="en-US"/>
        </w:rPr>
        <w:t xml:space="preserve"> </w:t>
      </w:r>
    </w:p>
    <w:p w14:paraId="2967C188" w14:textId="3D557AF6" w:rsidR="5308BC86" w:rsidRPr="004B564A" w:rsidRDefault="5308BC86" w:rsidP="0369AF28">
      <w:pPr>
        <w:spacing w:after="0" w:line="240" w:lineRule="auto"/>
        <w:jc w:val="both"/>
        <w:rPr>
          <w:lang w:val="en-US"/>
        </w:rPr>
      </w:pPr>
      <w:r w:rsidRPr="0369AF28">
        <w:rPr>
          <w:rFonts w:asciiTheme="minorHAnsi" w:hAnsiTheme="minorHAnsi" w:cstheme="minorBidi"/>
          <w:sz w:val="24"/>
          <w:szCs w:val="24"/>
          <w:lang w:val="en-US"/>
        </w:rPr>
        <w:t>The Group moved into a net cash position of €7.1M at closing, compared to a net cash position of €2.0M last year. This change mainly results from a net cash variation of +€3.9M, repayment of short-term debts (+€1,491K), and the change in factoring (-€269K). LEXIBOOK indeed repaid a total of €1,491K for the Innovation Loan obtained from BPI, the GIAC, and the State-Guaranteed Loan (PGE), contributing to the Group’s deleveraging, which reached a historic low.</w:t>
      </w:r>
    </w:p>
    <w:p w14:paraId="012921B2" w14:textId="7D2A11D0" w:rsidR="5308BC86" w:rsidRPr="004B564A" w:rsidRDefault="5308BC86" w:rsidP="0369AF28">
      <w:pPr>
        <w:spacing w:after="0" w:line="240" w:lineRule="auto"/>
        <w:jc w:val="both"/>
        <w:rPr>
          <w:lang w:val="en-US"/>
        </w:rPr>
      </w:pPr>
      <w:r w:rsidRPr="0369AF28">
        <w:rPr>
          <w:rFonts w:asciiTheme="minorHAnsi" w:hAnsiTheme="minorHAnsi" w:cstheme="minorBidi"/>
          <w:sz w:val="24"/>
          <w:szCs w:val="24"/>
          <w:lang w:val="en-US"/>
        </w:rPr>
        <w:t xml:space="preserve"> </w:t>
      </w:r>
    </w:p>
    <w:p w14:paraId="283A0E2B" w14:textId="42EF1B9C" w:rsidR="5308BC86" w:rsidRPr="004B564A" w:rsidRDefault="5308BC86" w:rsidP="0369AF28">
      <w:pPr>
        <w:spacing w:after="0" w:line="240" w:lineRule="auto"/>
        <w:jc w:val="both"/>
        <w:rPr>
          <w:rFonts w:asciiTheme="minorHAnsi" w:hAnsiTheme="minorHAnsi" w:cstheme="minorBidi"/>
          <w:b/>
          <w:bCs/>
          <w:color w:val="0254A5"/>
          <w:u w:val="single"/>
          <w:lang w:val="en-US"/>
        </w:rPr>
      </w:pPr>
      <w:r w:rsidRPr="004B564A">
        <w:rPr>
          <w:rFonts w:asciiTheme="minorHAnsi" w:hAnsiTheme="minorHAnsi" w:cstheme="minorBidi"/>
          <w:b/>
          <w:bCs/>
          <w:color w:val="0254A5"/>
          <w:u w:val="single"/>
          <w:lang w:val="en-US"/>
        </w:rPr>
        <w:t>Outlook 2025-2026</w:t>
      </w:r>
    </w:p>
    <w:p w14:paraId="4BF965E7" w14:textId="1F96D746" w:rsidR="5308BC86" w:rsidRPr="004B564A" w:rsidRDefault="5308BC86" w:rsidP="0369AF28">
      <w:pPr>
        <w:spacing w:after="0" w:line="240" w:lineRule="auto"/>
        <w:jc w:val="both"/>
        <w:rPr>
          <w:lang w:val="en-US"/>
        </w:rPr>
      </w:pPr>
      <w:r w:rsidRPr="0369AF28">
        <w:rPr>
          <w:rFonts w:asciiTheme="minorHAnsi" w:hAnsiTheme="minorHAnsi" w:cstheme="minorBidi"/>
          <w:sz w:val="24"/>
          <w:szCs w:val="24"/>
          <w:lang w:val="en-US"/>
        </w:rPr>
        <w:t xml:space="preserve"> </w:t>
      </w:r>
    </w:p>
    <w:p w14:paraId="1CBC0566" w14:textId="5F95D48F" w:rsidR="5308BC86" w:rsidRPr="004B564A" w:rsidRDefault="5308BC86" w:rsidP="0369AF28">
      <w:pPr>
        <w:spacing w:after="0" w:line="240" w:lineRule="auto"/>
        <w:jc w:val="both"/>
        <w:rPr>
          <w:lang w:val="en-US"/>
        </w:rPr>
      </w:pPr>
      <w:r w:rsidRPr="0369AF28">
        <w:rPr>
          <w:rFonts w:asciiTheme="minorHAnsi" w:hAnsiTheme="minorHAnsi" w:cstheme="minorBidi"/>
          <w:sz w:val="24"/>
          <w:szCs w:val="24"/>
          <w:lang w:val="en-US"/>
        </w:rPr>
        <w:t xml:space="preserve">Lexibook presented its 2025 collections to international </w:t>
      </w:r>
      <w:proofErr w:type="gramStart"/>
      <w:r w:rsidRPr="0369AF28">
        <w:rPr>
          <w:rFonts w:asciiTheme="minorHAnsi" w:hAnsiTheme="minorHAnsi" w:cstheme="minorBidi"/>
          <w:sz w:val="24"/>
          <w:szCs w:val="24"/>
          <w:lang w:val="en-US"/>
        </w:rPr>
        <w:t>distributors</w:t>
      </w:r>
      <w:proofErr w:type="gramEnd"/>
      <w:r w:rsidRPr="0369AF28">
        <w:rPr>
          <w:rFonts w:asciiTheme="minorHAnsi" w:hAnsiTheme="minorHAnsi" w:cstheme="minorBidi"/>
          <w:sz w:val="24"/>
          <w:szCs w:val="24"/>
          <w:lang w:val="en-US"/>
        </w:rPr>
        <w:t xml:space="preserve"> and the reception of the new products was positive. Listings for the 2025 Christmas campaign are encouraging and suggest a new 2025-26 fiscal year in line with 2024-25. The order book indicates a significantly growing level of activity compared to last year in Q1 2024-25, particularly thanks to the “Stitch” effect with the release of the movie in May 2025. Lexibook hopes to continue its momentum this year.</w:t>
      </w:r>
    </w:p>
    <w:p w14:paraId="06D241FC" w14:textId="44AB55F3" w:rsidR="5308BC86" w:rsidRPr="004B564A" w:rsidRDefault="5308BC86" w:rsidP="0369AF28">
      <w:pPr>
        <w:spacing w:after="0" w:line="240" w:lineRule="auto"/>
        <w:jc w:val="both"/>
        <w:rPr>
          <w:lang w:val="en-US"/>
        </w:rPr>
      </w:pPr>
      <w:r w:rsidRPr="0369AF28">
        <w:rPr>
          <w:rFonts w:asciiTheme="minorHAnsi" w:hAnsiTheme="minorHAnsi" w:cstheme="minorBidi"/>
          <w:sz w:val="24"/>
          <w:szCs w:val="24"/>
          <w:lang w:val="en-US"/>
        </w:rPr>
        <w:lastRenderedPageBreak/>
        <w:t xml:space="preserve"> </w:t>
      </w:r>
    </w:p>
    <w:p w14:paraId="059E7501" w14:textId="7AC7C1A0" w:rsidR="5308BC86" w:rsidRPr="004B564A" w:rsidRDefault="5308BC86" w:rsidP="0369AF28">
      <w:pPr>
        <w:spacing w:after="0" w:line="240" w:lineRule="auto"/>
        <w:jc w:val="both"/>
        <w:rPr>
          <w:lang w:val="en-US"/>
        </w:rPr>
      </w:pPr>
      <w:r w:rsidRPr="0369AF28">
        <w:rPr>
          <w:rFonts w:asciiTheme="minorHAnsi" w:hAnsiTheme="minorHAnsi" w:cstheme="minorBidi"/>
          <w:sz w:val="24"/>
          <w:szCs w:val="24"/>
          <w:lang w:val="en-US"/>
        </w:rPr>
        <w:t xml:space="preserve">However, the sharp increase in tariffs raising US customs duties on nearly </w:t>
      </w:r>
      <w:proofErr w:type="gramStart"/>
      <w:r w:rsidRPr="0369AF28">
        <w:rPr>
          <w:rFonts w:asciiTheme="minorHAnsi" w:hAnsiTheme="minorHAnsi" w:cstheme="minorBidi"/>
          <w:sz w:val="24"/>
          <w:szCs w:val="24"/>
          <w:lang w:val="en-US"/>
        </w:rPr>
        <w:t>all of</w:t>
      </w:r>
      <w:proofErr w:type="gramEnd"/>
      <w:r w:rsidRPr="0369AF28">
        <w:rPr>
          <w:rFonts w:asciiTheme="minorHAnsi" w:hAnsiTheme="minorHAnsi" w:cstheme="minorBidi"/>
          <w:sz w:val="24"/>
          <w:szCs w:val="24"/>
          <w:lang w:val="en-US"/>
        </w:rPr>
        <w:t xml:space="preserve"> the Group’s products to 30% vs 0% in 2024 also complicates growth in this country and may strongly impact consumption and affect margins. A complete halt could even occur if the Trump administration were to implement its threat to raise them to 55% starting at the end of August 2025.</w:t>
      </w:r>
    </w:p>
    <w:p w14:paraId="7AAE1F37" w14:textId="080295BF" w:rsidR="5308BC86" w:rsidRPr="004B564A" w:rsidRDefault="5308BC86" w:rsidP="0369AF28">
      <w:pPr>
        <w:spacing w:after="0" w:line="240" w:lineRule="auto"/>
        <w:jc w:val="both"/>
        <w:rPr>
          <w:lang w:val="en-US"/>
        </w:rPr>
      </w:pPr>
      <w:r w:rsidRPr="0369AF28">
        <w:rPr>
          <w:rFonts w:asciiTheme="minorHAnsi" w:hAnsiTheme="minorHAnsi" w:cstheme="minorBidi"/>
          <w:sz w:val="24"/>
          <w:szCs w:val="24"/>
          <w:lang w:val="en-US"/>
        </w:rPr>
        <w:t xml:space="preserve"> </w:t>
      </w:r>
    </w:p>
    <w:p w14:paraId="3D2A01F5" w14:textId="6729F789" w:rsidR="5308BC86" w:rsidRPr="004B564A" w:rsidRDefault="5308BC86" w:rsidP="0369AF28">
      <w:pPr>
        <w:spacing w:after="0" w:line="240" w:lineRule="auto"/>
        <w:jc w:val="both"/>
        <w:rPr>
          <w:lang w:val="en-US"/>
        </w:rPr>
      </w:pPr>
      <w:r w:rsidRPr="0369AF28">
        <w:rPr>
          <w:rFonts w:asciiTheme="minorHAnsi" w:hAnsiTheme="minorHAnsi" w:cstheme="minorBidi"/>
          <w:sz w:val="24"/>
          <w:szCs w:val="24"/>
          <w:lang w:val="en-US"/>
        </w:rPr>
        <w:t>The persistent instability of trade relations between the United States and the rest of the world, particularly with China, is a significant risk factor for business. Since 100% of Lexibook’s products are manufactured in China, any increase in customs duties or the absence of a lasting trade agreement could weaken the competitiveness of the products in the US market. This context could thus slow down growth in the United States, a strategic market for the Group’s development. The risks of a consumption slowdown in other territories are also real given the global geopolitical context. More specifically, the boost from the Stitch license remains very strong at the start of the fiscal year, but an inevitable slowdown linked to the typical life cycle of licenses is starting to be felt. If the momentum from this trend fades, a more significant decline could affect the coming years if other licenses do not take over, with a potentially major impact on revenue, as Stitch products currently represent about 25% of the Group’s business.</w:t>
      </w:r>
    </w:p>
    <w:p w14:paraId="0CF2DA97" w14:textId="5542D47C" w:rsidR="5308BC86" w:rsidRPr="004B564A" w:rsidRDefault="5308BC86" w:rsidP="0369AF28">
      <w:pPr>
        <w:spacing w:after="0" w:line="240" w:lineRule="auto"/>
        <w:jc w:val="both"/>
        <w:rPr>
          <w:lang w:val="en-US"/>
        </w:rPr>
      </w:pPr>
      <w:r w:rsidRPr="0369AF28">
        <w:rPr>
          <w:rFonts w:asciiTheme="minorHAnsi" w:hAnsiTheme="minorHAnsi" w:cstheme="minorBidi"/>
          <w:sz w:val="24"/>
          <w:szCs w:val="24"/>
          <w:lang w:val="en-US"/>
        </w:rPr>
        <w:t xml:space="preserve"> </w:t>
      </w:r>
    </w:p>
    <w:p w14:paraId="5358D804" w14:textId="2EAF202D" w:rsidR="5308BC86" w:rsidRPr="004B564A" w:rsidRDefault="5308BC86" w:rsidP="0369AF28">
      <w:pPr>
        <w:spacing w:after="0" w:line="240" w:lineRule="auto"/>
        <w:jc w:val="both"/>
        <w:rPr>
          <w:lang w:val="en-US"/>
        </w:rPr>
      </w:pPr>
      <w:r w:rsidRPr="0369AF28">
        <w:rPr>
          <w:rFonts w:asciiTheme="minorHAnsi" w:hAnsiTheme="minorHAnsi" w:cstheme="minorBidi"/>
          <w:sz w:val="24"/>
          <w:szCs w:val="24"/>
          <w:lang w:val="en-US"/>
        </w:rPr>
        <w:t>Several license contract renewals expiring in 2025 are under negotiation. Lexibook hopes to finalize these negotiations soon. Nevertheless, the Group is seeing the emergence of new competitors in the territories where it operates and is trying to consolidate its positions to strengthen its leadership. In the USA, Lexibook faces fierce competition from powerful and long-established players, making it more difficult to extend license contracts in the area, slowing the Group’s growth, deteriorating commercial conditions with licensors, and increasing risks. These players are indeed trying to expand their contracts into the traditional zones and segments of the company, making negotiations more difficult.</w:t>
      </w:r>
    </w:p>
    <w:p w14:paraId="510CBE84" w14:textId="21F33E90" w:rsidR="5308BC86" w:rsidRPr="004B564A" w:rsidRDefault="5308BC86" w:rsidP="0369AF28">
      <w:pPr>
        <w:spacing w:after="0" w:line="240" w:lineRule="auto"/>
        <w:jc w:val="both"/>
        <w:rPr>
          <w:lang w:val="en-US"/>
        </w:rPr>
      </w:pPr>
      <w:r w:rsidRPr="0369AF28">
        <w:rPr>
          <w:rFonts w:asciiTheme="minorHAnsi" w:hAnsiTheme="minorHAnsi" w:cstheme="minorBidi"/>
          <w:sz w:val="24"/>
          <w:szCs w:val="24"/>
          <w:lang w:val="en-US"/>
        </w:rPr>
        <w:t xml:space="preserve"> </w:t>
      </w:r>
    </w:p>
    <w:p w14:paraId="444BD172" w14:textId="69E8C584" w:rsidR="5308BC86" w:rsidRPr="004B564A" w:rsidRDefault="5308BC86" w:rsidP="0369AF28">
      <w:pPr>
        <w:spacing w:after="0" w:line="240" w:lineRule="auto"/>
        <w:jc w:val="both"/>
        <w:rPr>
          <w:lang w:val="en-US"/>
        </w:rPr>
      </w:pPr>
      <w:r w:rsidRPr="0369AF28">
        <w:rPr>
          <w:rFonts w:asciiTheme="minorHAnsi" w:hAnsiTheme="minorHAnsi" w:cstheme="minorBidi"/>
          <w:sz w:val="24"/>
          <w:szCs w:val="24"/>
          <w:lang w:val="en-US"/>
        </w:rPr>
        <w:t xml:space="preserve">The Group’s hedging levels are below the current euro/dollar exchange rate, exposing </w:t>
      </w:r>
      <w:proofErr w:type="gramStart"/>
      <w:r w:rsidRPr="0369AF28">
        <w:rPr>
          <w:rFonts w:asciiTheme="minorHAnsi" w:hAnsiTheme="minorHAnsi" w:cstheme="minorBidi"/>
          <w:sz w:val="24"/>
          <w:szCs w:val="24"/>
          <w:lang w:val="en-US"/>
        </w:rPr>
        <w:t>it</w:t>
      </w:r>
      <w:proofErr w:type="gramEnd"/>
      <w:r w:rsidRPr="0369AF28">
        <w:rPr>
          <w:rFonts w:asciiTheme="minorHAnsi" w:hAnsiTheme="minorHAnsi" w:cstheme="minorBidi"/>
          <w:sz w:val="24"/>
          <w:szCs w:val="24"/>
          <w:lang w:val="en-US"/>
        </w:rPr>
        <w:t xml:space="preserve"> to significant losses on its existing hedges. The maintenance or appreciation of the euro against the dollar is currently doubling the accumulated amounts as well as exchange losses, impacting the financial result. This effect should nevertheless be partially offset by the mechanical increase in commercial margins.</w:t>
      </w:r>
    </w:p>
    <w:p w14:paraId="72BD8BA0" w14:textId="7423A35F" w:rsidR="5308BC86" w:rsidRPr="004B564A" w:rsidRDefault="5308BC86" w:rsidP="0369AF28">
      <w:pPr>
        <w:spacing w:after="0" w:line="240" w:lineRule="auto"/>
        <w:jc w:val="both"/>
        <w:rPr>
          <w:lang w:val="en-US"/>
        </w:rPr>
      </w:pPr>
      <w:r w:rsidRPr="0369AF28">
        <w:rPr>
          <w:rFonts w:asciiTheme="minorHAnsi" w:hAnsiTheme="minorHAnsi" w:cstheme="minorBidi"/>
          <w:sz w:val="24"/>
          <w:szCs w:val="24"/>
          <w:lang w:val="en-US"/>
        </w:rPr>
        <w:t xml:space="preserve"> </w:t>
      </w:r>
    </w:p>
    <w:p w14:paraId="24E31EC3" w14:textId="33041E60" w:rsidR="5308BC86" w:rsidRPr="004B564A" w:rsidRDefault="5308BC86" w:rsidP="0369AF28">
      <w:pPr>
        <w:spacing w:after="0" w:line="240" w:lineRule="auto"/>
        <w:jc w:val="both"/>
        <w:rPr>
          <w:lang w:val="en-US"/>
        </w:rPr>
      </w:pPr>
      <w:r w:rsidRPr="0369AF28">
        <w:rPr>
          <w:rFonts w:asciiTheme="minorHAnsi" w:hAnsiTheme="minorHAnsi" w:cstheme="minorBidi"/>
          <w:sz w:val="24"/>
          <w:szCs w:val="24"/>
          <w:lang w:val="en-US"/>
        </w:rPr>
        <w:t xml:space="preserve">Sharp price increases in international freight are expected for June 2025 and beyond: several sources anticipate a sharp increase in China-Europe maritime freight rates starting in June 2025. </w:t>
      </w:r>
      <w:proofErr w:type="spellStart"/>
      <w:r w:rsidRPr="0369AF28">
        <w:rPr>
          <w:rFonts w:asciiTheme="minorHAnsi" w:hAnsiTheme="minorHAnsi" w:cstheme="minorBidi"/>
          <w:sz w:val="24"/>
          <w:szCs w:val="24"/>
          <w:lang w:val="en-US"/>
        </w:rPr>
        <w:t>Marglory</w:t>
      </w:r>
      <w:proofErr w:type="spellEnd"/>
      <w:r w:rsidRPr="0369AF28">
        <w:rPr>
          <w:rFonts w:asciiTheme="minorHAnsi" w:hAnsiTheme="minorHAnsi" w:cstheme="minorBidi"/>
          <w:sz w:val="24"/>
          <w:szCs w:val="24"/>
          <w:lang w:val="en-US"/>
        </w:rPr>
        <w:t xml:space="preserve"> estimates that spot rates to Europe or the USA increased respectively by 90% and 60% in June 2025 compared to June 2024.</w:t>
      </w:r>
    </w:p>
    <w:p w14:paraId="76F3360D" w14:textId="7F224522" w:rsidR="5308BC86" w:rsidRPr="004B564A" w:rsidRDefault="5308BC86" w:rsidP="0369AF28">
      <w:pPr>
        <w:spacing w:after="0" w:line="240" w:lineRule="auto"/>
        <w:jc w:val="both"/>
        <w:rPr>
          <w:lang w:val="en-US"/>
        </w:rPr>
      </w:pPr>
      <w:r w:rsidRPr="0369AF28">
        <w:rPr>
          <w:rFonts w:asciiTheme="minorHAnsi" w:hAnsiTheme="minorHAnsi" w:cstheme="minorBidi"/>
          <w:sz w:val="24"/>
          <w:szCs w:val="24"/>
          <w:lang w:val="en-US"/>
        </w:rPr>
        <w:t xml:space="preserve"> </w:t>
      </w:r>
    </w:p>
    <w:p w14:paraId="1FBDC999" w14:textId="2298EF67" w:rsidR="5308BC86" w:rsidRPr="004B564A" w:rsidRDefault="5308BC86" w:rsidP="0369AF28">
      <w:pPr>
        <w:spacing w:after="0" w:line="240" w:lineRule="auto"/>
        <w:jc w:val="both"/>
        <w:rPr>
          <w:lang w:val="en-US"/>
        </w:rPr>
      </w:pPr>
      <w:r w:rsidRPr="0369AF28">
        <w:rPr>
          <w:rFonts w:asciiTheme="minorHAnsi" w:hAnsiTheme="minorHAnsi" w:cstheme="minorBidi"/>
          <w:sz w:val="24"/>
          <w:szCs w:val="24"/>
          <w:lang w:val="en-US"/>
        </w:rPr>
        <w:t>This impacts delivery times and cost prices on the Group’s products and could affect the Group’s margins if they remain at the current level or deteriorate further.</w:t>
      </w:r>
    </w:p>
    <w:p w14:paraId="31BF7BC6" w14:textId="55D8EFD6" w:rsidR="5308BC86" w:rsidRPr="004B564A" w:rsidRDefault="5308BC86" w:rsidP="0369AF28">
      <w:pPr>
        <w:spacing w:after="0" w:line="240" w:lineRule="auto"/>
        <w:jc w:val="both"/>
        <w:rPr>
          <w:lang w:val="en-US"/>
        </w:rPr>
      </w:pPr>
      <w:r w:rsidRPr="0369AF28">
        <w:rPr>
          <w:rFonts w:asciiTheme="minorHAnsi" w:hAnsiTheme="minorHAnsi" w:cstheme="minorBidi"/>
          <w:sz w:val="24"/>
          <w:szCs w:val="24"/>
          <w:lang w:val="en-US"/>
        </w:rPr>
        <w:t xml:space="preserve"> </w:t>
      </w:r>
    </w:p>
    <w:p w14:paraId="3D1C6465" w14:textId="1FD54F7C" w:rsidR="5308BC86" w:rsidRPr="009B501C" w:rsidRDefault="5308BC86" w:rsidP="0369AF28">
      <w:pPr>
        <w:spacing w:after="0" w:line="240" w:lineRule="auto"/>
        <w:jc w:val="both"/>
        <w:rPr>
          <w:rFonts w:asciiTheme="minorHAnsi" w:hAnsiTheme="minorHAnsi" w:cstheme="minorBidi"/>
          <w:b/>
          <w:bCs/>
          <w:color w:val="0254A5"/>
          <w:u w:val="single"/>
          <w:lang w:val="en-US"/>
        </w:rPr>
      </w:pPr>
      <w:r w:rsidRPr="009B501C">
        <w:rPr>
          <w:rFonts w:asciiTheme="minorHAnsi" w:hAnsiTheme="minorHAnsi" w:cstheme="minorBidi"/>
          <w:b/>
          <w:bCs/>
          <w:color w:val="0254A5"/>
          <w:u w:val="single"/>
          <w:lang w:val="en-US"/>
        </w:rPr>
        <w:t>Financial Calendar 2024/2025</w:t>
      </w:r>
    </w:p>
    <w:p w14:paraId="502B98F5" w14:textId="16216BFD" w:rsidR="5308BC86" w:rsidRPr="004B564A" w:rsidRDefault="5308BC86" w:rsidP="0369AF28">
      <w:pPr>
        <w:spacing w:after="0" w:line="240" w:lineRule="auto"/>
        <w:jc w:val="both"/>
        <w:rPr>
          <w:lang w:val="en-US"/>
        </w:rPr>
      </w:pPr>
      <w:r w:rsidRPr="0369AF28">
        <w:rPr>
          <w:rFonts w:asciiTheme="minorHAnsi" w:hAnsiTheme="minorHAnsi" w:cstheme="minorBidi"/>
          <w:sz w:val="24"/>
          <w:szCs w:val="24"/>
          <w:lang w:val="en-US"/>
        </w:rPr>
        <w:t xml:space="preserve"> </w:t>
      </w:r>
    </w:p>
    <w:p w14:paraId="634535FE" w14:textId="2FC3EF19" w:rsidR="5308BC86" w:rsidRPr="004B564A" w:rsidRDefault="5308BC86" w:rsidP="0369AF28">
      <w:pPr>
        <w:spacing w:after="0" w:line="240" w:lineRule="auto"/>
        <w:jc w:val="both"/>
        <w:rPr>
          <w:lang w:val="en-US"/>
        </w:rPr>
      </w:pPr>
      <w:r w:rsidRPr="0369AF28">
        <w:rPr>
          <w:rFonts w:asciiTheme="minorHAnsi" w:hAnsiTheme="minorHAnsi" w:cstheme="minorBidi"/>
          <w:sz w:val="24"/>
          <w:szCs w:val="24"/>
          <w:lang w:val="en-US"/>
        </w:rPr>
        <w:t>Availability of the Universal Registration Document as of March 31, 2025: June 17, 2025</w:t>
      </w:r>
    </w:p>
    <w:p w14:paraId="3F5F3431" w14:textId="5CEA0181" w:rsidR="5308BC86" w:rsidRPr="004B564A" w:rsidRDefault="5308BC86" w:rsidP="0369AF28">
      <w:pPr>
        <w:spacing w:after="0" w:line="240" w:lineRule="auto"/>
        <w:jc w:val="both"/>
        <w:rPr>
          <w:lang w:val="en-US"/>
        </w:rPr>
      </w:pPr>
      <w:r w:rsidRPr="0369AF28">
        <w:rPr>
          <w:rFonts w:asciiTheme="minorHAnsi" w:hAnsiTheme="minorHAnsi" w:cstheme="minorBidi"/>
          <w:sz w:val="24"/>
          <w:szCs w:val="24"/>
          <w:lang w:val="en-US"/>
        </w:rPr>
        <w:t xml:space="preserve"> </w:t>
      </w:r>
    </w:p>
    <w:p w14:paraId="0870C6FC" w14:textId="50676368" w:rsidR="5308BC86" w:rsidRPr="009B501C" w:rsidRDefault="5308BC86" w:rsidP="0369AF28">
      <w:pPr>
        <w:spacing w:after="0" w:line="240" w:lineRule="auto"/>
        <w:jc w:val="both"/>
        <w:rPr>
          <w:rFonts w:asciiTheme="minorHAnsi" w:hAnsiTheme="minorHAnsi" w:cstheme="minorBidi"/>
          <w:b/>
          <w:bCs/>
          <w:color w:val="0254A5"/>
          <w:u w:val="single"/>
          <w:lang w:val="en-US"/>
        </w:rPr>
      </w:pPr>
      <w:r w:rsidRPr="009B501C">
        <w:rPr>
          <w:rFonts w:asciiTheme="minorHAnsi" w:hAnsiTheme="minorHAnsi" w:cstheme="minorBidi"/>
          <w:b/>
          <w:bCs/>
          <w:color w:val="0254A5"/>
          <w:u w:val="single"/>
          <w:lang w:val="en-US"/>
        </w:rPr>
        <w:t>Financial Calendar 2025/2026</w:t>
      </w:r>
    </w:p>
    <w:p w14:paraId="30E76080" w14:textId="4E737F6E" w:rsidR="5308BC86" w:rsidRPr="004B564A" w:rsidRDefault="5308BC86" w:rsidP="0369AF28">
      <w:pPr>
        <w:spacing w:after="0" w:line="240" w:lineRule="auto"/>
        <w:jc w:val="both"/>
        <w:rPr>
          <w:lang w:val="en-US"/>
        </w:rPr>
      </w:pPr>
      <w:r w:rsidRPr="2332995B">
        <w:rPr>
          <w:rFonts w:asciiTheme="minorHAnsi" w:hAnsiTheme="minorHAnsi" w:cstheme="minorBidi"/>
          <w:sz w:val="24"/>
          <w:szCs w:val="24"/>
          <w:lang w:val="en-US"/>
        </w:rPr>
        <w:t xml:space="preserve"> </w:t>
      </w:r>
    </w:p>
    <w:p w14:paraId="2645E382" w14:textId="07A79E7D" w:rsidR="5308BC86" w:rsidRPr="000F5748" w:rsidRDefault="5308BC86" w:rsidP="2332995B">
      <w:pPr>
        <w:pStyle w:val="Paragraphedeliste"/>
        <w:numPr>
          <w:ilvl w:val="0"/>
          <w:numId w:val="36"/>
        </w:numPr>
        <w:spacing w:after="0" w:line="240" w:lineRule="auto"/>
        <w:jc w:val="both"/>
        <w:rPr>
          <w:lang w:val="en-US"/>
        </w:rPr>
      </w:pPr>
      <w:r w:rsidRPr="2332995B">
        <w:rPr>
          <w:rFonts w:asciiTheme="minorHAnsi" w:hAnsiTheme="minorHAnsi" w:cstheme="minorBidi"/>
          <w:sz w:val="24"/>
          <w:szCs w:val="24"/>
          <w:lang w:val="en-US"/>
        </w:rPr>
        <w:t>Half-year results as of September 30, 2025: November 30, 2025</w:t>
      </w:r>
    </w:p>
    <w:p w14:paraId="01AEFB54" w14:textId="5E395E2F" w:rsidR="5308BC86" w:rsidRPr="000F5748" w:rsidRDefault="5308BC86" w:rsidP="2332995B">
      <w:pPr>
        <w:pStyle w:val="Paragraphedeliste"/>
        <w:numPr>
          <w:ilvl w:val="0"/>
          <w:numId w:val="36"/>
        </w:numPr>
        <w:spacing w:after="0" w:line="240" w:lineRule="auto"/>
        <w:jc w:val="both"/>
        <w:rPr>
          <w:lang w:val="en-US"/>
        </w:rPr>
      </w:pPr>
      <w:r w:rsidRPr="2332995B">
        <w:rPr>
          <w:rFonts w:asciiTheme="minorHAnsi" w:hAnsiTheme="minorHAnsi" w:cstheme="minorBidi"/>
          <w:sz w:val="24"/>
          <w:szCs w:val="24"/>
          <w:lang w:val="en-US"/>
        </w:rPr>
        <w:t>Annual results as of March 31, 2026: June 28, 2026</w:t>
      </w:r>
    </w:p>
    <w:p w14:paraId="33C6C8AB" w14:textId="4384D06A" w:rsidR="5308BC86" w:rsidRPr="000F5748" w:rsidRDefault="5308BC86" w:rsidP="2332995B">
      <w:pPr>
        <w:pStyle w:val="Paragraphedeliste"/>
        <w:numPr>
          <w:ilvl w:val="0"/>
          <w:numId w:val="36"/>
        </w:numPr>
        <w:spacing w:after="0" w:line="240" w:lineRule="auto"/>
        <w:jc w:val="both"/>
        <w:rPr>
          <w:lang w:val="en-US"/>
        </w:rPr>
      </w:pPr>
      <w:r w:rsidRPr="2332995B">
        <w:rPr>
          <w:rFonts w:asciiTheme="minorHAnsi" w:hAnsiTheme="minorHAnsi" w:cstheme="minorBidi"/>
          <w:sz w:val="24"/>
          <w:szCs w:val="24"/>
          <w:lang w:val="en-US"/>
        </w:rPr>
        <w:t>Availability of the Universal Registration Document as of March 31, 2026: June 28, 2026</w:t>
      </w:r>
    </w:p>
    <w:p w14:paraId="79FE3E5C" w14:textId="2DE9D266" w:rsidR="5308BC86" w:rsidRPr="004B564A" w:rsidRDefault="5308BC86" w:rsidP="0369AF28">
      <w:pPr>
        <w:spacing w:after="0" w:line="240" w:lineRule="auto"/>
        <w:jc w:val="both"/>
        <w:rPr>
          <w:lang w:val="en-US"/>
        </w:rPr>
      </w:pPr>
      <w:r w:rsidRPr="0369AF28">
        <w:rPr>
          <w:rFonts w:asciiTheme="minorHAnsi" w:hAnsiTheme="minorHAnsi" w:cstheme="minorBidi"/>
          <w:sz w:val="24"/>
          <w:szCs w:val="24"/>
          <w:lang w:val="en-US"/>
        </w:rPr>
        <w:t xml:space="preserve"> </w:t>
      </w:r>
    </w:p>
    <w:p w14:paraId="3E79320E" w14:textId="7B2C5CAF" w:rsidR="5308BC86" w:rsidRPr="009B501C" w:rsidRDefault="5308BC86" w:rsidP="0369AF28">
      <w:pPr>
        <w:spacing w:after="0" w:line="240" w:lineRule="auto"/>
        <w:jc w:val="both"/>
        <w:rPr>
          <w:rFonts w:asciiTheme="minorHAnsi" w:hAnsiTheme="minorHAnsi" w:cstheme="minorBidi"/>
          <w:b/>
          <w:bCs/>
          <w:color w:val="0254A5"/>
          <w:u w:val="single"/>
          <w:lang w:val="en-US"/>
        </w:rPr>
      </w:pPr>
      <w:r w:rsidRPr="009B501C">
        <w:rPr>
          <w:rFonts w:asciiTheme="minorHAnsi" w:hAnsiTheme="minorHAnsi" w:cstheme="minorBidi"/>
          <w:b/>
          <w:bCs/>
          <w:color w:val="0254A5"/>
          <w:u w:val="single"/>
          <w:lang w:val="en-US"/>
        </w:rPr>
        <w:t>ABOUT LEXIBOOK</w:t>
      </w:r>
    </w:p>
    <w:p w14:paraId="3E03534B" w14:textId="57D14B5B" w:rsidR="5308BC86" w:rsidRPr="004B564A" w:rsidRDefault="5308BC86" w:rsidP="0369AF28">
      <w:pPr>
        <w:spacing w:after="0" w:line="240" w:lineRule="auto"/>
        <w:jc w:val="both"/>
        <w:rPr>
          <w:lang w:val="en-US"/>
        </w:rPr>
      </w:pPr>
      <w:r w:rsidRPr="0369AF28">
        <w:rPr>
          <w:rFonts w:asciiTheme="minorHAnsi" w:hAnsiTheme="minorHAnsi" w:cstheme="minorBidi"/>
          <w:sz w:val="24"/>
          <w:szCs w:val="24"/>
          <w:lang w:val="en-US"/>
        </w:rPr>
        <w:lastRenderedPageBreak/>
        <w:t xml:space="preserve"> </w:t>
      </w:r>
    </w:p>
    <w:p w14:paraId="4F05B53B" w14:textId="41AC70EC" w:rsidR="5308BC86" w:rsidRPr="004B564A" w:rsidRDefault="5308BC86" w:rsidP="0369AF28">
      <w:pPr>
        <w:spacing w:after="0" w:line="240" w:lineRule="auto"/>
        <w:jc w:val="both"/>
        <w:rPr>
          <w:lang w:val="en-US"/>
        </w:rPr>
      </w:pPr>
      <w:r w:rsidRPr="0369AF28">
        <w:rPr>
          <w:rFonts w:asciiTheme="minorHAnsi" w:hAnsiTheme="minorHAnsi" w:cstheme="minorBidi"/>
          <w:sz w:val="24"/>
          <w:szCs w:val="24"/>
          <w:lang w:val="en-US"/>
        </w:rPr>
        <w:t xml:space="preserve">LEXIBOOK®, owner of over 40 registered brands, is the leader in smart electronic leisure products for children. This success is based on a proven strategy of combining strong international licenses with </w:t>
      </w:r>
      <w:proofErr w:type="gramStart"/>
      <w:r w:rsidRPr="0369AF28">
        <w:rPr>
          <w:rFonts w:asciiTheme="minorHAnsi" w:hAnsiTheme="minorHAnsi" w:cstheme="minorBidi"/>
          <w:sz w:val="24"/>
          <w:szCs w:val="24"/>
          <w:lang w:val="en-US"/>
        </w:rPr>
        <w:t>high value</w:t>
      </w:r>
      <w:proofErr w:type="gramEnd"/>
      <w:r w:rsidRPr="0369AF28">
        <w:rPr>
          <w:rFonts w:asciiTheme="minorHAnsi" w:hAnsiTheme="minorHAnsi" w:cstheme="minorBidi"/>
          <w:sz w:val="24"/>
          <w:szCs w:val="24"/>
          <w:lang w:val="en-US"/>
        </w:rPr>
        <w:t>-added consumer electronic products. This strategy, complemented by a constant innovation policy, allows the Group to thrive internationally and continuously develop new product ranges under the Group’s brands. With over 35 million products on the market, the company now sells one product every 10 seconds worldwide! Lexibook's share capital is composed of 7,763,319 shares listed on the Euronext Growth market in Paris. ISIN: FR0000033599 – ALLEX; ICB: 3743 – Consumer electronics.</w:t>
      </w:r>
    </w:p>
    <w:p w14:paraId="12024A1F" w14:textId="1CB029B4" w:rsidR="5308BC86" w:rsidRPr="004B564A" w:rsidRDefault="5308BC86" w:rsidP="0369AF28">
      <w:pPr>
        <w:spacing w:after="0" w:line="240" w:lineRule="auto"/>
        <w:jc w:val="both"/>
        <w:rPr>
          <w:lang w:val="en-US"/>
        </w:rPr>
      </w:pPr>
      <w:r w:rsidRPr="0369AF28">
        <w:rPr>
          <w:rFonts w:asciiTheme="minorHAnsi" w:hAnsiTheme="minorHAnsi" w:cstheme="minorBidi"/>
          <w:sz w:val="24"/>
          <w:szCs w:val="24"/>
          <w:lang w:val="en-US"/>
        </w:rPr>
        <w:t xml:space="preserve"> </w:t>
      </w:r>
    </w:p>
    <w:p w14:paraId="55ADDD17" w14:textId="05942771" w:rsidR="5308BC86" w:rsidRPr="009B501C" w:rsidRDefault="5308BC86" w:rsidP="0369AF28">
      <w:pPr>
        <w:spacing w:after="0" w:line="240" w:lineRule="auto"/>
        <w:jc w:val="both"/>
        <w:rPr>
          <w:rFonts w:asciiTheme="minorHAnsi" w:hAnsiTheme="minorHAnsi" w:cstheme="minorBidi"/>
          <w:b/>
          <w:bCs/>
          <w:color w:val="0254A5"/>
          <w:u w:val="single"/>
          <w:lang w:val="en-US"/>
        </w:rPr>
      </w:pPr>
      <w:r w:rsidRPr="009B501C">
        <w:rPr>
          <w:rFonts w:asciiTheme="minorHAnsi" w:hAnsiTheme="minorHAnsi" w:cstheme="minorBidi"/>
          <w:b/>
          <w:bCs/>
          <w:color w:val="0254A5"/>
          <w:u w:val="single"/>
          <w:lang w:val="en-US"/>
        </w:rPr>
        <w:t>Contacts</w:t>
      </w:r>
    </w:p>
    <w:p w14:paraId="1A132E8D" w14:textId="1B93C457" w:rsidR="5308BC86" w:rsidRPr="004B564A" w:rsidRDefault="5308BC86" w:rsidP="0369AF28">
      <w:pPr>
        <w:spacing w:after="0" w:line="240" w:lineRule="auto"/>
        <w:jc w:val="both"/>
        <w:rPr>
          <w:lang w:val="en-US"/>
        </w:rPr>
      </w:pPr>
      <w:r w:rsidRPr="0369AF28">
        <w:rPr>
          <w:rFonts w:asciiTheme="minorHAnsi" w:hAnsiTheme="minorHAnsi" w:cstheme="minorBidi"/>
          <w:sz w:val="24"/>
          <w:szCs w:val="24"/>
          <w:lang w:val="en-US"/>
        </w:rPr>
        <w:t xml:space="preserve"> </w:t>
      </w:r>
    </w:p>
    <w:p w14:paraId="330B241F" w14:textId="401150AE" w:rsidR="5308BC86" w:rsidRPr="004B564A" w:rsidRDefault="5308BC86" w:rsidP="0369AF28">
      <w:pPr>
        <w:spacing w:after="0" w:line="240" w:lineRule="auto"/>
        <w:jc w:val="both"/>
        <w:rPr>
          <w:lang w:val="en-US"/>
        </w:rPr>
      </w:pPr>
      <w:r w:rsidRPr="0369AF28">
        <w:rPr>
          <w:rFonts w:asciiTheme="minorHAnsi" w:hAnsiTheme="minorHAnsi" w:cstheme="minorBidi"/>
          <w:sz w:val="24"/>
          <w:szCs w:val="24"/>
          <w:lang w:val="en-US"/>
        </w:rPr>
        <w:t>LEXIBOOK - Aymeric Le Cottier – CEO – aymericlecottier@lexibook.com</w:t>
      </w:r>
    </w:p>
    <w:sectPr w:rsidR="5308BC86" w:rsidRPr="004B564A" w:rsidSect="007E1F95">
      <w:headerReference w:type="default" r:id="rId12"/>
      <w:footerReference w:type="default" r:id="rId13"/>
      <w:footnotePr>
        <w:numRestart w:val="eachPage"/>
      </w:footnotePr>
      <w:type w:val="continuous"/>
      <w:pgSz w:w="11906" w:h="16838" w:code="9"/>
      <w:pgMar w:top="720" w:right="720" w:bottom="720" w:left="72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6BFE39" w14:textId="77777777" w:rsidR="0013181F" w:rsidRDefault="0013181F" w:rsidP="00A02228">
      <w:pPr>
        <w:spacing w:after="0" w:line="240" w:lineRule="auto"/>
      </w:pPr>
      <w:r>
        <w:separator/>
      </w:r>
    </w:p>
  </w:endnote>
  <w:endnote w:type="continuationSeparator" w:id="0">
    <w:p w14:paraId="2403E38A" w14:textId="77777777" w:rsidR="0013181F" w:rsidRDefault="0013181F" w:rsidP="00A02228">
      <w:pPr>
        <w:spacing w:after="0" w:line="240" w:lineRule="auto"/>
      </w:pPr>
      <w:r>
        <w:continuationSeparator/>
      </w:r>
    </w:p>
  </w:endnote>
  <w:endnote w:type="continuationNotice" w:id="1">
    <w:p w14:paraId="723C9191" w14:textId="77777777" w:rsidR="0013181F" w:rsidRDefault="0013181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85"/>
      <w:gridCol w:w="3485"/>
      <w:gridCol w:w="3485"/>
    </w:tblGrid>
    <w:tr w:rsidR="0C1039A8" w14:paraId="43C99FA9" w14:textId="77777777" w:rsidTr="0C1039A8">
      <w:trPr>
        <w:trHeight w:val="300"/>
      </w:trPr>
      <w:tc>
        <w:tcPr>
          <w:tcW w:w="3485" w:type="dxa"/>
        </w:tcPr>
        <w:p w14:paraId="77B1EC19" w14:textId="77777777" w:rsidR="0C1039A8" w:rsidRDefault="0C1039A8" w:rsidP="0C1039A8">
          <w:pPr>
            <w:pStyle w:val="En-tte"/>
            <w:ind w:left="-115"/>
          </w:pPr>
        </w:p>
      </w:tc>
      <w:tc>
        <w:tcPr>
          <w:tcW w:w="3485" w:type="dxa"/>
        </w:tcPr>
        <w:p w14:paraId="7FBB6D6C" w14:textId="77777777" w:rsidR="0C1039A8" w:rsidRDefault="0C1039A8" w:rsidP="0C1039A8">
          <w:pPr>
            <w:pStyle w:val="En-tte"/>
            <w:jc w:val="center"/>
          </w:pPr>
        </w:p>
      </w:tc>
      <w:tc>
        <w:tcPr>
          <w:tcW w:w="3485" w:type="dxa"/>
        </w:tcPr>
        <w:p w14:paraId="5461B781" w14:textId="77777777" w:rsidR="00B837CB" w:rsidRDefault="00997C98">
          <w:pPr>
            <w:pStyle w:val="En-tte"/>
            <w:ind w:right="-115"/>
            <w:jc w:val="right"/>
          </w:pPr>
          <w:r>
            <w:fldChar w:fldCharType="begin"/>
          </w:r>
          <w:r>
            <w:instrText>PAGE</w:instrText>
          </w:r>
          <w:r>
            <w:fldChar w:fldCharType="separate"/>
          </w:r>
          <w:r w:rsidR="00957681">
            <w:rPr>
              <w:noProof/>
            </w:rPr>
            <w:t>1</w:t>
          </w:r>
          <w:r>
            <w:fldChar w:fldCharType="end"/>
          </w:r>
        </w:p>
      </w:tc>
    </w:tr>
  </w:tbl>
  <w:p w14:paraId="28FF0165" w14:textId="77777777" w:rsidR="0C1039A8" w:rsidRDefault="0C1039A8" w:rsidP="0C1039A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85"/>
      <w:gridCol w:w="3485"/>
      <w:gridCol w:w="3485"/>
    </w:tblGrid>
    <w:tr w:rsidR="0C1039A8" w14:paraId="006F2AD9" w14:textId="77777777" w:rsidTr="0369AF28">
      <w:trPr>
        <w:trHeight w:val="300"/>
      </w:trPr>
      <w:tc>
        <w:tcPr>
          <w:tcW w:w="3485" w:type="dxa"/>
        </w:tcPr>
        <w:p w14:paraId="08A5217B" w14:textId="3CB94646" w:rsidR="00B837CB" w:rsidRDefault="0369AF28">
          <w:pPr>
            <w:pStyle w:val="En-tte"/>
            <w:ind w:left="-115"/>
          </w:pPr>
          <w:r>
            <w:t>Lexibook - Annual results 2024/2025</w:t>
          </w:r>
        </w:p>
      </w:tc>
      <w:tc>
        <w:tcPr>
          <w:tcW w:w="3485" w:type="dxa"/>
        </w:tcPr>
        <w:p w14:paraId="420215B8" w14:textId="77777777" w:rsidR="0C1039A8" w:rsidRDefault="0C1039A8" w:rsidP="0C1039A8">
          <w:pPr>
            <w:pStyle w:val="En-tte"/>
            <w:jc w:val="center"/>
          </w:pPr>
        </w:p>
      </w:tc>
      <w:tc>
        <w:tcPr>
          <w:tcW w:w="3485" w:type="dxa"/>
        </w:tcPr>
        <w:p w14:paraId="650809DC" w14:textId="77777777" w:rsidR="00B837CB" w:rsidRDefault="00997C98">
          <w:pPr>
            <w:pStyle w:val="En-tte"/>
            <w:ind w:right="-115"/>
            <w:jc w:val="right"/>
          </w:pPr>
          <w:r>
            <w:fldChar w:fldCharType="begin"/>
          </w:r>
          <w:r>
            <w:instrText>PAGE</w:instrText>
          </w:r>
          <w:r>
            <w:fldChar w:fldCharType="separate"/>
          </w:r>
          <w:r w:rsidR="00957681">
            <w:rPr>
              <w:noProof/>
            </w:rPr>
            <w:t>3</w:t>
          </w:r>
          <w:r>
            <w:fldChar w:fldCharType="end"/>
          </w:r>
        </w:p>
      </w:tc>
    </w:tr>
  </w:tbl>
  <w:p w14:paraId="43CB65DA" w14:textId="77777777" w:rsidR="0C1039A8" w:rsidRDefault="0C1039A8" w:rsidP="0C1039A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BCBFBF" w14:textId="77777777" w:rsidR="0013181F" w:rsidRDefault="0013181F" w:rsidP="00A02228">
      <w:pPr>
        <w:spacing w:after="0" w:line="240" w:lineRule="auto"/>
      </w:pPr>
      <w:r>
        <w:separator/>
      </w:r>
    </w:p>
  </w:footnote>
  <w:footnote w:type="continuationSeparator" w:id="0">
    <w:p w14:paraId="522CBE76" w14:textId="77777777" w:rsidR="0013181F" w:rsidRDefault="0013181F" w:rsidP="00A02228">
      <w:pPr>
        <w:spacing w:after="0" w:line="240" w:lineRule="auto"/>
      </w:pPr>
      <w:r>
        <w:continuationSeparator/>
      </w:r>
    </w:p>
  </w:footnote>
  <w:footnote w:type="continuationNotice" w:id="1">
    <w:p w14:paraId="50713DE9" w14:textId="77777777" w:rsidR="0013181F" w:rsidRDefault="0013181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9EB760" w14:textId="77777777" w:rsidR="006377DB" w:rsidRDefault="006377D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_Hlk138750453"/>
  <w:bookmarkStart w:id="1" w:name="_Hlk138750454"/>
  <w:bookmarkStart w:id="2" w:name="_Hlk138750455"/>
  <w:bookmarkStart w:id="3" w:name="_Hlk138750456"/>
  <w:bookmarkStart w:id="4" w:name="_Hlk138750457"/>
  <w:bookmarkStart w:id="5" w:name="_Hlk138750458"/>
  <w:bookmarkStart w:id="6" w:name="_Hlk138750459"/>
  <w:bookmarkStart w:id="7" w:name="_Hlk138750460"/>
  <w:bookmarkStart w:id="8" w:name="_Hlk138750461"/>
  <w:bookmarkStart w:id="9" w:name="_Hlk138750462"/>
  <w:bookmarkStart w:id="10" w:name="_Hlk138750473"/>
  <w:bookmarkStart w:id="11" w:name="_Hlk138750474"/>
  <w:bookmarkStart w:id="12" w:name="_Hlk138750475"/>
  <w:bookmarkStart w:id="13" w:name="_Hlk138750476"/>
  <w:bookmarkStart w:id="14" w:name="_Hlk138750478"/>
  <w:bookmarkStart w:id="15" w:name="_Hlk138750479"/>
  <w:bookmarkStart w:id="16" w:name="_Hlk138750480"/>
  <w:bookmarkStart w:id="17" w:name="_Hlk138750481"/>
  <w:bookmarkStart w:id="18" w:name="_Hlk138750486"/>
  <w:bookmarkStart w:id="19" w:name="_Hlk138750487"/>
  <w:bookmarkStart w:id="20" w:name="_Hlk138750488"/>
  <w:bookmarkStart w:id="21" w:name="_Hlk138750489"/>
  <w:bookmarkStart w:id="22" w:name="_Hlk138750490"/>
  <w:bookmarkStart w:id="23" w:name="_Hlk138750491"/>
  <w:bookmarkStart w:id="24" w:name="_Hlk138750492"/>
  <w:bookmarkStart w:id="25" w:name="_Hlk138750493"/>
  <w:bookmarkStart w:id="26" w:name="_Hlk138750494"/>
  <w:bookmarkStart w:id="27" w:name="_Hlk138750495"/>
  <w:bookmarkStart w:id="28" w:name="_Hlk138750496"/>
  <w:bookmarkStart w:id="29" w:name="_Hlk138750497"/>
  <w:p w14:paraId="38ADB927" w14:textId="77777777" w:rsidR="00B837CB" w:rsidRDefault="00997C98">
    <w:pPr>
      <w:pStyle w:val="En-tte"/>
      <w:tabs>
        <w:tab w:val="clear" w:pos="4536"/>
        <w:tab w:val="clear" w:pos="9072"/>
        <w:tab w:val="left" w:pos="6675"/>
      </w:tabs>
      <w:spacing w:after="0"/>
      <w:ind w:left="-142" w:right="7631"/>
      <w:jc w:val="center"/>
      <w:rPr>
        <w:b/>
        <w:bCs/>
        <w:sz w:val="28"/>
        <w:szCs w:val="28"/>
      </w:rPr>
    </w:pPr>
    <w:r w:rsidRPr="000B345C">
      <w:rPr>
        <w:b/>
        <w:bCs/>
        <w:noProof/>
        <w:sz w:val="28"/>
        <w:szCs w:val="28"/>
      </w:rPr>
      <mc:AlternateContent>
        <mc:Choice Requires="wps">
          <w:drawing>
            <wp:anchor distT="0" distB="0" distL="114300" distR="114300" simplePos="0" relativeHeight="251658240" behindDoc="0" locked="0" layoutInCell="1" allowOverlap="1" wp14:anchorId="21279C14" wp14:editId="079B6FAE">
              <wp:simplePos x="0" y="0"/>
              <wp:positionH relativeFrom="column">
                <wp:posOffset>-457200</wp:posOffset>
              </wp:positionH>
              <wp:positionV relativeFrom="paragraph">
                <wp:posOffset>277826</wp:posOffset>
              </wp:positionV>
              <wp:extent cx="7591425" cy="0"/>
              <wp:effectExtent l="0" t="0" r="0" b="0"/>
              <wp:wrapNone/>
              <wp:docPr id="1232976971" name="Connecteur droit 1"/>
              <wp:cNvGraphicFramePr/>
              <a:graphic xmlns:a="http://schemas.openxmlformats.org/drawingml/2006/main">
                <a:graphicData uri="http://schemas.microsoft.com/office/word/2010/wordprocessingShape">
                  <wps:wsp>
                    <wps:cNvCnPr/>
                    <wps:spPr>
                      <a:xfrm>
                        <a:off x="0" y="0"/>
                        <a:ext cx="7591425" cy="0"/>
                      </a:xfrm>
                      <a:prstGeom prst="line">
                        <a:avLst/>
                      </a:prstGeom>
                      <a:ln w="19050">
                        <a:solidFill>
                          <a:srgbClr val="0254A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rto="http://schemas.microsoft.com/office/word/2006/arto">
          <w:pict>
            <v:line id="Connecteur droit 1"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0254a5" strokeweight="1.5pt" from="-36pt,21.9pt" to="561.75pt,21.9pt" w14:anchorId="21706DD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">
              <v:stroke joinstyle="miter"/>
            </v:line>
          </w:pict>
        </mc:Fallback>
      </mc:AlternateContent>
    </w:r>
    <w:r w:rsidRPr="000B345C">
      <w:rPr>
        <w:b/>
        <w:bCs/>
        <w:sz w:val="28"/>
        <w:szCs w:val="28"/>
      </w:rPr>
      <w:t>Press release</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p w14:paraId="7BA4E68E" w14:textId="77777777" w:rsidR="000B345C" w:rsidRPr="000B345C" w:rsidRDefault="000B345C" w:rsidP="000B345C">
    <w:pPr>
      <w:pStyle w:val="En-tte"/>
      <w:tabs>
        <w:tab w:val="clear" w:pos="4536"/>
        <w:tab w:val="clear" w:pos="9072"/>
        <w:tab w:val="left" w:pos="6675"/>
      </w:tabs>
      <w:spacing w:after="0"/>
      <w:rPr>
        <w:b/>
        <w:bCs/>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1C30F2" w14:textId="77777777" w:rsidR="006377DB" w:rsidRDefault="006377DB">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7F3B2E" w14:textId="77777777" w:rsidR="000B345C" w:rsidRPr="000B345C" w:rsidRDefault="000B345C" w:rsidP="000B345C">
    <w:pPr>
      <w:pStyle w:val="En-tte"/>
      <w:tabs>
        <w:tab w:val="clear" w:pos="4536"/>
        <w:tab w:val="clear" w:pos="9072"/>
        <w:tab w:val="left" w:pos="6675"/>
      </w:tabs>
      <w:spacing w:after="0"/>
      <w:rPr>
        <w:b/>
        <w:bCs/>
        <w:sz w:val="24"/>
        <w:szCs w:val="24"/>
      </w:rPr>
    </w:pPr>
  </w:p>
</w:hdr>
</file>

<file path=word/intelligence2.xml><?xml version="1.0" encoding="utf-8"?>
<int2:intelligence xmlns:int2="http://schemas.microsoft.com/office/intelligence/2020/intelligence" xmlns:oel="http://schemas.microsoft.com/office/2019/extlst">
  <int2:observations>
    <int2:textHash int2:hashCode="t4pB/lWr7eeldX" int2:id="aCDKDJCb">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8708E"/>
    <w:multiLevelType w:val="hybridMultilevel"/>
    <w:tmpl w:val="457E596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4BA0434"/>
    <w:multiLevelType w:val="hybridMultilevel"/>
    <w:tmpl w:val="1BA85FEE"/>
    <w:lvl w:ilvl="0" w:tplc="423411BE">
      <w:start w:val="2"/>
      <w:numFmt w:val="bullet"/>
      <w:lvlText w:val="-"/>
      <w:lvlJc w:val="left"/>
      <w:pPr>
        <w:tabs>
          <w:tab w:val="num" w:pos="1068"/>
        </w:tabs>
        <w:ind w:left="1068" w:hanging="360"/>
      </w:pPr>
      <w:rPr>
        <w:rFonts w:ascii="Garamond" w:eastAsia="Times New Roman" w:hAnsi="Garamond"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 w15:restartNumberingAfterBreak="0">
    <w:nsid w:val="07DB7E68"/>
    <w:multiLevelType w:val="hybridMultilevel"/>
    <w:tmpl w:val="C4800F22"/>
    <w:lvl w:ilvl="0" w:tplc="771E49EE">
      <w:numFmt w:val="bullet"/>
      <w:lvlText w:val="-"/>
      <w:lvlJc w:val="left"/>
      <w:pPr>
        <w:ind w:left="360" w:hanging="360"/>
      </w:pPr>
      <w:rPr>
        <w:rFonts w:ascii="Arial" w:eastAsia="Calibri" w:hAnsi="Arial" w:cs="Aria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09D73569"/>
    <w:multiLevelType w:val="hybridMultilevel"/>
    <w:tmpl w:val="8014E2B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FC47E9B"/>
    <w:multiLevelType w:val="hybridMultilevel"/>
    <w:tmpl w:val="A1666C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2D52824"/>
    <w:multiLevelType w:val="hybridMultilevel"/>
    <w:tmpl w:val="B282B490"/>
    <w:lvl w:ilvl="0" w:tplc="6630BDC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8DE217B"/>
    <w:multiLevelType w:val="hybridMultilevel"/>
    <w:tmpl w:val="EAB6DFB8"/>
    <w:lvl w:ilvl="0" w:tplc="08ACF43A">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23B6678"/>
    <w:multiLevelType w:val="hybridMultilevel"/>
    <w:tmpl w:val="A498E6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2D613DC"/>
    <w:multiLevelType w:val="hybridMultilevel"/>
    <w:tmpl w:val="0ABAC2DE"/>
    <w:lvl w:ilvl="0" w:tplc="040C0001">
      <w:start w:val="1"/>
      <w:numFmt w:val="bullet"/>
      <w:lvlText w:val=""/>
      <w:lvlJc w:val="left"/>
      <w:pPr>
        <w:ind w:left="2832" w:hanging="360"/>
      </w:pPr>
      <w:rPr>
        <w:rFonts w:ascii="Symbol" w:hAnsi="Symbol" w:hint="default"/>
      </w:rPr>
    </w:lvl>
    <w:lvl w:ilvl="1" w:tplc="040C0003" w:tentative="1">
      <w:start w:val="1"/>
      <w:numFmt w:val="bullet"/>
      <w:lvlText w:val="o"/>
      <w:lvlJc w:val="left"/>
      <w:pPr>
        <w:ind w:left="3552" w:hanging="360"/>
      </w:pPr>
      <w:rPr>
        <w:rFonts w:ascii="Courier New" w:hAnsi="Courier New" w:cs="Courier New" w:hint="default"/>
      </w:rPr>
    </w:lvl>
    <w:lvl w:ilvl="2" w:tplc="040C0005" w:tentative="1">
      <w:start w:val="1"/>
      <w:numFmt w:val="bullet"/>
      <w:lvlText w:val=""/>
      <w:lvlJc w:val="left"/>
      <w:pPr>
        <w:ind w:left="4272" w:hanging="360"/>
      </w:pPr>
      <w:rPr>
        <w:rFonts w:ascii="Wingdings" w:hAnsi="Wingdings" w:hint="default"/>
      </w:rPr>
    </w:lvl>
    <w:lvl w:ilvl="3" w:tplc="040C0001" w:tentative="1">
      <w:start w:val="1"/>
      <w:numFmt w:val="bullet"/>
      <w:lvlText w:val=""/>
      <w:lvlJc w:val="left"/>
      <w:pPr>
        <w:ind w:left="4992" w:hanging="360"/>
      </w:pPr>
      <w:rPr>
        <w:rFonts w:ascii="Symbol" w:hAnsi="Symbol" w:hint="default"/>
      </w:rPr>
    </w:lvl>
    <w:lvl w:ilvl="4" w:tplc="040C0003" w:tentative="1">
      <w:start w:val="1"/>
      <w:numFmt w:val="bullet"/>
      <w:lvlText w:val="o"/>
      <w:lvlJc w:val="left"/>
      <w:pPr>
        <w:ind w:left="5712" w:hanging="360"/>
      </w:pPr>
      <w:rPr>
        <w:rFonts w:ascii="Courier New" w:hAnsi="Courier New" w:cs="Courier New" w:hint="default"/>
      </w:rPr>
    </w:lvl>
    <w:lvl w:ilvl="5" w:tplc="040C0005" w:tentative="1">
      <w:start w:val="1"/>
      <w:numFmt w:val="bullet"/>
      <w:lvlText w:val=""/>
      <w:lvlJc w:val="left"/>
      <w:pPr>
        <w:ind w:left="6432" w:hanging="360"/>
      </w:pPr>
      <w:rPr>
        <w:rFonts w:ascii="Wingdings" w:hAnsi="Wingdings" w:hint="default"/>
      </w:rPr>
    </w:lvl>
    <w:lvl w:ilvl="6" w:tplc="040C0001" w:tentative="1">
      <w:start w:val="1"/>
      <w:numFmt w:val="bullet"/>
      <w:lvlText w:val=""/>
      <w:lvlJc w:val="left"/>
      <w:pPr>
        <w:ind w:left="7152" w:hanging="360"/>
      </w:pPr>
      <w:rPr>
        <w:rFonts w:ascii="Symbol" w:hAnsi="Symbol" w:hint="default"/>
      </w:rPr>
    </w:lvl>
    <w:lvl w:ilvl="7" w:tplc="040C0003" w:tentative="1">
      <w:start w:val="1"/>
      <w:numFmt w:val="bullet"/>
      <w:lvlText w:val="o"/>
      <w:lvlJc w:val="left"/>
      <w:pPr>
        <w:ind w:left="7872" w:hanging="360"/>
      </w:pPr>
      <w:rPr>
        <w:rFonts w:ascii="Courier New" w:hAnsi="Courier New" w:cs="Courier New" w:hint="default"/>
      </w:rPr>
    </w:lvl>
    <w:lvl w:ilvl="8" w:tplc="040C0005" w:tentative="1">
      <w:start w:val="1"/>
      <w:numFmt w:val="bullet"/>
      <w:lvlText w:val=""/>
      <w:lvlJc w:val="left"/>
      <w:pPr>
        <w:ind w:left="8592" w:hanging="360"/>
      </w:pPr>
      <w:rPr>
        <w:rFonts w:ascii="Wingdings" w:hAnsi="Wingdings" w:hint="default"/>
      </w:rPr>
    </w:lvl>
  </w:abstractNum>
  <w:abstractNum w:abstractNumId="9" w15:restartNumberingAfterBreak="0">
    <w:nsid w:val="2DCB1DE1"/>
    <w:multiLevelType w:val="hybridMultilevel"/>
    <w:tmpl w:val="8E3E6C5E"/>
    <w:lvl w:ilvl="0" w:tplc="C52A645C">
      <w:start w:val="1"/>
      <w:numFmt w:val="bullet"/>
      <w:lvlText w:val="-"/>
      <w:lvlJc w:val="left"/>
      <w:pPr>
        <w:ind w:left="720" w:hanging="360"/>
      </w:pPr>
      <w:rPr>
        <w:rFonts w:ascii="Aptos" w:hAnsi="Aptos" w:hint="default"/>
      </w:rPr>
    </w:lvl>
    <w:lvl w:ilvl="1" w:tplc="9B129DC8">
      <w:start w:val="1"/>
      <w:numFmt w:val="bullet"/>
      <w:lvlText w:val="o"/>
      <w:lvlJc w:val="left"/>
      <w:pPr>
        <w:ind w:left="1440" w:hanging="360"/>
      </w:pPr>
      <w:rPr>
        <w:rFonts w:ascii="Courier New" w:hAnsi="Courier New" w:hint="default"/>
      </w:rPr>
    </w:lvl>
    <w:lvl w:ilvl="2" w:tplc="8FFAF394">
      <w:start w:val="1"/>
      <w:numFmt w:val="bullet"/>
      <w:lvlText w:val=""/>
      <w:lvlJc w:val="left"/>
      <w:pPr>
        <w:ind w:left="2160" w:hanging="360"/>
      </w:pPr>
      <w:rPr>
        <w:rFonts w:ascii="Wingdings" w:hAnsi="Wingdings" w:hint="default"/>
      </w:rPr>
    </w:lvl>
    <w:lvl w:ilvl="3" w:tplc="FAC885A4">
      <w:start w:val="1"/>
      <w:numFmt w:val="bullet"/>
      <w:lvlText w:val=""/>
      <w:lvlJc w:val="left"/>
      <w:pPr>
        <w:ind w:left="2880" w:hanging="360"/>
      </w:pPr>
      <w:rPr>
        <w:rFonts w:ascii="Symbol" w:hAnsi="Symbol" w:hint="default"/>
      </w:rPr>
    </w:lvl>
    <w:lvl w:ilvl="4" w:tplc="877066C8">
      <w:start w:val="1"/>
      <w:numFmt w:val="bullet"/>
      <w:lvlText w:val="o"/>
      <w:lvlJc w:val="left"/>
      <w:pPr>
        <w:ind w:left="3600" w:hanging="360"/>
      </w:pPr>
      <w:rPr>
        <w:rFonts w:ascii="Courier New" w:hAnsi="Courier New" w:hint="default"/>
      </w:rPr>
    </w:lvl>
    <w:lvl w:ilvl="5" w:tplc="84E00F58">
      <w:start w:val="1"/>
      <w:numFmt w:val="bullet"/>
      <w:lvlText w:val=""/>
      <w:lvlJc w:val="left"/>
      <w:pPr>
        <w:ind w:left="4320" w:hanging="360"/>
      </w:pPr>
      <w:rPr>
        <w:rFonts w:ascii="Wingdings" w:hAnsi="Wingdings" w:hint="default"/>
      </w:rPr>
    </w:lvl>
    <w:lvl w:ilvl="6" w:tplc="1778DB46">
      <w:start w:val="1"/>
      <w:numFmt w:val="bullet"/>
      <w:lvlText w:val=""/>
      <w:lvlJc w:val="left"/>
      <w:pPr>
        <w:ind w:left="5040" w:hanging="360"/>
      </w:pPr>
      <w:rPr>
        <w:rFonts w:ascii="Symbol" w:hAnsi="Symbol" w:hint="default"/>
      </w:rPr>
    </w:lvl>
    <w:lvl w:ilvl="7" w:tplc="CE30B350">
      <w:start w:val="1"/>
      <w:numFmt w:val="bullet"/>
      <w:lvlText w:val="o"/>
      <w:lvlJc w:val="left"/>
      <w:pPr>
        <w:ind w:left="5760" w:hanging="360"/>
      </w:pPr>
      <w:rPr>
        <w:rFonts w:ascii="Courier New" w:hAnsi="Courier New" w:hint="default"/>
      </w:rPr>
    </w:lvl>
    <w:lvl w:ilvl="8" w:tplc="9F8ADD28">
      <w:start w:val="1"/>
      <w:numFmt w:val="bullet"/>
      <w:lvlText w:val=""/>
      <w:lvlJc w:val="left"/>
      <w:pPr>
        <w:ind w:left="6480" w:hanging="360"/>
      </w:pPr>
      <w:rPr>
        <w:rFonts w:ascii="Wingdings" w:hAnsi="Wingdings" w:hint="default"/>
      </w:rPr>
    </w:lvl>
  </w:abstractNum>
  <w:abstractNum w:abstractNumId="10" w15:restartNumberingAfterBreak="0">
    <w:nsid w:val="2DD4537B"/>
    <w:multiLevelType w:val="hybridMultilevel"/>
    <w:tmpl w:val="4D6A5B08"/>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F5048F7"/>
    <w:multiLevelType w:val="hybridMultilevel"/>
    <w:tmpl w:val="7A3E1756"/>
    <w:lvl w:ilvl="0" w:tplc="C9568526">
      <w:numFmt w:val="bullet"/>
      <w:lvlText w:val=""/>
      <w:lvlJc w:val="left"/>
      <w:pPr>
        <w:ind w:left="1065" w:hanging="360"/>
      </w:pPr>
      <w:rPr>
        <w:rFonts w:ascii="Wingdings" w:eastAsia="Times New Roman" w:hAnsi="Wingdings" w:hint="default"/>
      </w:rPr>
    </w:lvl>
    <w:lvl w:ilvl="1" w:tplc="040C0003" w:tentative="1">
      <w:start w:val="1"/>
      <w:numFmt w:val="bullet"/>
      <w:lvlText w:val="o"/>
      <w:lvlJc w:val="left"/>
      <w:pPr>
        <w:ind w:left="1785" w:hanging="360"/>
      </w:pPr>
      <w:rPr>
        <w:rFonts w:ascii="Courier New" w:hAnsi="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2" w15:restartNumberingAfterBreak="0">
    <w:nsid w:val="3403106D"/>
    <w:multiLevelType w:val="hybridMultilevel"/>
    <w:tmpl w:val="BE66CFB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4A9004F"/>
    <w:multiLevelType w:val="hybridMultilevel"/>
    <w:tmpl w:val="08F634D8"/>
    <w:lvl w:ilvl="0" w:tplc="73D4EF6E">
      <w:start w:val="2"/>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93352D6"/>
    <w:multiLevelType w:val="hybridMultilevel"/>
    <w:tmpl w:val="9A24DB20"/>
    <w:lvl w:ilvl="0" w:tplc="11EA85F6">
      <w:start w:val="1"/>
      <w:numFmt w:val="bullet"/>
      <w:lvlText w:val="-"/>
      <w:lvlJc w:val="left"/>
      <w:pPr>
        <w:ind w:left="720" w:hanging="360"/>
      </w:pPr>
      <w:rPr>
        <w:rFonts w:ascii="Aptos" w:hAnsi="Aptos" w:hint="default"/>
      </w:rPr>
    </w:lvl>
    <w:lvl w:ilvl="1" w:tplc="BCEAF0FE">
      <w:start w:val="1"/>
      <w:numFmt w:val="bullet"/>
      <w:lvlText w:val="o"/>
      <w:lvlJc w:val="left"/>
      <w:pPr>
        <w:ind w:left="1440" w:hanging="360"/>
      </w:pPr>
      <w:rPr>
        <w:rFonts w:ascii="Courier New" w:hAnsi="Courier New" w:hint="default"/>
      </w:rPr>
    </w:lvl>
    <w:lvl w:ilvl="2" w:tplc="F3A24AEC">
      <w:start w:val="1"/>
      <w:numFmt w:val="bullet"/>
      <w:lvlText w:val=""/>
      <w:lvlJc w:val="left"/>
      <w:pPr>
        <w:ind w:left="2160" w:hanging="360"/>
      </w:pPr>
      <w:rPr>
        <w:rFonts w:ascii="Wingdings" w:hAnsi="Wingdings" w:hint="default"/>
      </w:rPr>
    </w:lvl>
    <w:lvl w:ilvl="3" w:tplc="A176C882">
      <w:start w:val="1"/>
      <w:numFmt w:val="bullet"/>
      <w:lvlText w:val=""/>
      <w:lvlJc w:val="left"/>
      <w:pPr>
        <w:ind w:left="2880" w:hanging="360"/>
      </w:pPr>
      <w:rPr>
        <w:rFonts w:ascii="Symbol" w:hAnsi="Symbol" w:hint="default"/>
      </w:rPr>
    </w:lvl>
    <w:lvl w:ilvl="4" w:tplc="9A66EAC8">
      <w:start w:val="1"/>
      <w:numFmt w:val="bullet"/>
      <w:lvlText w:val="o"/>
      <w:lvlJc w:val="left"/>
      <w:pPr>
        <w:ind w:left="3600" w:hanging="360"/>
      </w:pPr>
      <w:rPr>
        <w:rFonts w:ascii="Courier New" w:hAnsi="Courier New" w:hint="default"/>
      </w:rPr>
    </w:lvl>
    <w:lvl w:ilvl="5" w:tplc="95649AB0">
      <w:start w:val="1"/>
      <w:numFmt w:val="bullet"/>
      <w:lvlText w:val=""/>
      <w:lvlJc w:val="left"/>
      <w:pPr>
        <w:ind w:left="4320" w:hanging="360"/>
      </w:pPr>
      <w:rPr>
        <w:rFonts w:ascii="Wingdings" w:hAnsi="Wingdings" w:hint="default"/>
      </w:rPr>
    </w:lvl>
    <w:lvl w:ilvl="6" w:tplc="F86039B8">
      <w:start w:val="1"/>
      <w:numFmt w:val="bullet"/>
      <w:lvlText w:val=""/>
      <w:lvlJc w:val="left"/>
      <w:pPr>
        <w:ind w:left="5040" w:hanging="360"/>
      </w:pPr>
      <w:rPr>
        <w:rFonts w:ascii="Symbol" w:hAnsi="Symbol" w:hint="default"/>
      </w:rPr>
    </w:lvl>
    <w:lvl w:ilvl="7" w:tplc="AA109956">
      <w:start w:val="1"/>
      <w:numFmt w:val="bullet"/>
      <w:lvlText w:val="o"/>
      <w:lvlJc w:val="left"/>
      <w:pPr>
        <w:ind w:left="5760" w:hanging="360"/>
      </w:pPr>
      <w:rPr>
        <w:rFonts w:ascii="Courier New" w:hAnsi="Courier New" w:hint="default"/>
      </w:rPr>
    </w:lvl>
    <w:lvl w:ilvl="8" w:tplc="146A97C8">
      <w:start w:val="1"/>
      <w:numFmt w:val="bullet"/>
      <w:lvlText w:val=""/>
      <w:lvlJc w:val="left"/>
      <w:pPr>
        <w:ind w:left="6480" w:hanging="360"/>
      </w:pPr>
      <w:rPr>
        <w:rFonts w:ascii="Wingdings" w:hAnsi="Wingdings" w:hint="default"/>
      </w:rPr>
    </w:lvl>
  </w:abstractNum>
  <w:abstractNum w:abstractNumId="15" w15:restartNumberingAfterBreak="0">
    <w:nsid w:val="3DAE73B9"/>
    <w:multiLevelType w:val="hybridMultilevel"/>
    <w:tmpl w:val="E7A2ECCA"/>
    <w:lvl w:ilvl="0" w:tplc="732E0DB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0B10FE7"/>
    <w:multiLevelType w:val="hybridMultilevel"/>
    <w:tmpl w:val="4516BC92"/>
    <w:lvl w:ilvl="0" w:tplc="CD363D40">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2575B02"/>
    <w:multiLevelType w:val="hybridMultilevel"/>
    <w:tmpl w:val="C12AEF84"/>
    <w:lvl w:ilvl="0" w:tplc="4B9AC99E">
      <w:start w:val="1"/>
      <w:numFmt w:val="bullet"/>
      <w:lvlText w:val="-"/>
      <w:lvlJc w:val="left"/>
      <w:pPr>
        <w:ind w:left="720" w:hanging="360"/>
      </w:pPr>
      <w:rPr>
        <w:rFonts w:ascii="Aptos" w:hAnsi="Aptos" w:hint="default"/>
      </w:rPr>
    </w:lvl>
    <w:lvl w:ilvl="1" w:tplc="313AF754">
      <w:start w:val="1"/>
      <w:numFmt w:val="bullet"/>
      <w:lvlText w:val="o"/>
      <w:lvlJc w:val="left"/>
      <w:pPr>
        <w:ind w:left="1440" w:hanging="360"/>
      </w:pPr>
      <w:rPr>
        <w:rFonts w:ascii="Courier New" w:hAnsi="Courier New" w:hint="default"/>
      </w:rPr>
    </w:lvl>
    <w:lvl w:ilvl="2" w:tplc="0904181A">
      <w:start w:val="1"/>
      <w:numFmt w:val="bullet"/>
      <w:lvlText w:val=""/>
      <w:lvlJc w:val="left"/>
      <w:pPr>
        <w:ind w:left="2160" w:hanging="360"/>
      </w:pPr>
      <w:rPr>
        <w:rFonts w:ascii="Wingdings" w:hAnsi="Wingdings" w:hint="default"/>
      </w:rPr>
    </w:lvl>
    <w:lvl w:ilvl="3" w:tplc="F9C23C42">
      <w:start w:val="1"/>
      <w:numFmt w:val="bullet"/>
      <w:lvlText w:val=""/>
      <w:lvlJc w:val="left"/>
      <w:pPr>
        <w:ind w:left="2880" w:hanging="360"/>
      </w:pPr>
      <w:rPr>
        <w:rFonts w:ascii="Symbol" w:hAnsi="Symbol" w:hint="default"/>
      </w:rPr>
    </w:lvl>
    <w:lvl w:ilvl="4" w:tplc="363E6ED8">
      <w:start w:val="1"/>
      <w:numFmt w:val="bullet"/>
      <w:lvlText w:val="o"/>
      <w:lvlJc w:val="left"/>
      <w:pPr>
        <w:ind w:left="3600" w:hanging="360"/>
      </w:pPr>
      <w:rPr>
        <w:rFonts w:ascii="Courier New" w:hAnsi="Courier New" w:hint="default"/>
      </w:rPr>
    </w:lvl>
    <w:lvl w:ilvl="5" w:tplc="E082870E">
      <w:start w:val="1"/>
      <w:numFmt w:val="bullet"/>
      <w:lvlText w:val=""/>
      <w:lvlJc w:val="left"/>
      <w:pPr>
        <w:ind w:left="4320" w:hanging="360"/>
      </w:pPr>
      <w:rPr>
        <w:rFonts w:ascii="Wingdings" w:hAnsi="Wingdings" w:hint="default"/>
      </w:rPr>
    </w:lvl>
    <w:lvl w:ilvl="6" w:tplc="CE7CF570">
      <w:start w:val="1"/>
      <w:numFmt w:val="bullet"/>
      <w:lvlText w:val=""/>
      <w:lvlJc w:val="left"/>
      <w:pPr>
        <w:ind w:left="5040" w:hanging="360"/>
      </w:pPr>
      <w:rPr>
        <w:rFonts w:ascii="Symbol" w:hAnsi="Symbol" w:hint="default"/>
      </w:rPr>
    </w:lvl>
    <w:lvl w:ilvl="7" w:tplc="76BA30F4">
      <w:start w:val="1"/>
      <w:numFmt w:val="bullet"/>
      <w:lvlText w:val="o"/>
      <w:lvlJc w:val="left"/>
      <w:pPr>
        <w:ind w:left="5760" w:hanging="360"/>
      </w:pPr>
      <w:rPr>
        <w:rFonts w:ascii="Courier New" w:hAnsi="Courier New" w:hint="default"/>
      </w:rPr>
    </w:lvl>
    <w:lvl w:ilvl="8" w:tplc="57E081F2">
      <w:start w:val="1"/>
      <w:numFmt w:val="bullet"/>
      <w:lvlText w:val=""/>
      <w:lvlJc w:val="left"/>
      <w:pPr>
        <w:ind w:left="6480" w:hanging="360"/>
      </w:pPr>
      <w:rPr>
        <w:rFonts w:ascii="Wingdings" w:hAnsi="Wingdings" w:hint="default"/>
      </w:rPr>
    </w:lvl>
  </w:abstractNum>
  <w:abstractNum w:abstractNumId="18" w15:restartNumberingAfterBreak="0">
    <w:nsid w:val="43241032"/>
    <w:multiLevelType w:val="hybridMultilevel"/>
    <w:tmpl w:val="D6B8DFC6"/>
    <w:lvl w:ilvl="0" w:tplc="EEE2E562">
      <w:start w:val="1"/>
      <w:numFmt w:val="bullet"/>
      <w:lvlText w:val=""/>
      <w:lvlJc w:val="left"/>
      <w:pPr>
        <w:ind w:left="360" w:hanging="360"/>
      </w:pPr>
      <w:rPr>
        <w:rFonts w:ascii="Symbol" w:hAnsi="Symbol" w:hint="default"/>
        <w:b w:val="0"/>
        <w:sz w:val="28"/>
        <w:szCs w:val="28"/>
      </w:rPr>
    </w:lvl>
    <w:lvl w:ilvl="1" w:tplc="040C0003">
      <w:start w:val="1"/>
      <w:numFmt w:val="bullet"/>
      <w:lvlText w:val="o"/>
      <w:lvlJc w:val="left"/>
      <w:pPr>
        <w:ind w:left="1299" w:hanging="360"/>
      </w:pPr>
      <w:rPr>
        <w:rFonts w:ascii="Courier New" w:hAnsi="Courier New" w:cs="Courier New" w:hint="default"/>
      </w:rPr>
    </w:lvl>
    <w:lvl w:ilvl="2" w:tplc="040C0005">
      <w:start w:val="1"/>
      <w:numFmt w:val="bullet"/>
      <w:lvlText w:val=""/>
      <w:lvlJc w:val="left"/>
      <w:pPr>
        <w:ind w:left="2019" w:hanging="360"/>
      </w:pPr>
      <w:rPr>
        <w:rFonts w:ascii="Wingdings" w:hAnsi="Wingdings" w:hint="default"/>
      </w:rPr>
    </w:lvl>
    <w:lvl w:ilvl="3" w:tplc="040C0001">
      <w:start w:val="1"/>
      <w:numFmt w:val="bullet"/>
      <w:lvlText w:val=""/>
      <w:lvlJc w:val="left"/>
      <w:pPr>
        <w:ind w:left="2739" w:hanging="360"/>
      </w:pPr>
      <w:rPr>
        <w:rFonts w:ascii="Symbol" w:hAnsi="Symbol" w:hint="default"/>
      </w:rPr>
    </w:lvl>
    <w:lvl w:ilvl="4" w:tplc="040C0003">
      <w:start w:val="1"/>
      <w:numFmt w:val="bullet"/>
      <w:lvlText w:val="o"/>
      <w:lvlJc w:val="left"/>
      <w:pPr>
        <w:ind w:left="3459" w:hanging="360"/>
      </w:pPr>
      <w:rPr>
        <w:rFonts w:ascii="Courier New" w:hAnsi="Courier New" w:cs="Courier New" w:hint="default"/>
      </w:rPr>
    </w:lvl>
    <w:lvl w:ilvl="5" w:tplc="040C0005">
      <w:start w:val="1"/>
      <w:numFmt w:val="bullet"/>
      <w:lvlText w:val=""/>
      <w:lvlJc w:val="left"/>
      <w:pPr>
        <w:ind w:left="4179" w:hanging="360"/>
      </w:pPr>
      <w:rPr>
        <w:rFonts w:ascii="Wingdings" w:hAnsi="Wingdings" w:hint="default"/>
      </w:rPr>
    </w:lvl>
    <w:lvl w:ilvl="6" w:tplc="040C0001">
      <w:start w:val="1"/>
      <w:numFmt w:val="bullet"/>
      <w:lvlText w:val=""/>
      <w:lvlJc w:val="left"/>
      <w:pPr>
        <w:ind w:left="4899" w:hanging="360"/>
      </w:pPr>
      <w:rPr>
        <w:rFonts w:ascii="Symbol" w:hAnsi="Symbol" w:hint="default"/>
      </w:rPr>
    </w:lvl>
    <w:lvl w:ilvl="7" w:tplc="040C0003">
      <w:start w:val="1"/>
      <w:numFmt w:val="bullet"/>
      <w:lvlText w:val="o"/>
      <w:lvlJc w:val="left"/>
      <w:pPr>
        <w:ind w:left="5619" w:hanging="360"/>
      </w:pPr>
      <w:rPr>
        <w:rFonts w:ascii="Courier New" w:hAnsi="Courier New" w:cs="Courier New" w:hint="default"/>
      </w:rPr>
    </w:lvl>
    <w:lvl w:ilvl="8" w:tplc="040C0005">
      <w:start w:val="1"/>
      <w:numFmt w:val="bullet"/>
      <w:lvlText w:val=""/>
      <w:lvlJc w:val="left"/>
      <w:pPr>
        <w:ind w:left="6339" w:hanging="360"/>
      </w:pPr>
      <w:rPr>
        <w:rFonts w:ascii="Wingdings" w:hAnsi="Wingdings" w:hint="default"/>
      </w:rPr>
    </w:lvl>
  </w:abstractNum>
  <w:abstractNum w:abstractNumId="19" w15:restartNumberingAfterBreak="0">
    <w:nsid w:val="436E18E7"/>
    <w:multiLevelType w:val="hybridMultilevel"/>
    <w:tmpl w:val="2DF20A9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0" w15:restartNumberingAfterBreak="0">
    <w:nsid w:val="46331E6F"/>
    <w:multiLevelType w:val="hybridMultilevel"/>
    <w:tmpl w:val="A88C94E8"/>
    <w:lvl w:ilvl="0" w:tplc="2828D8FA">
      <w:start w:val="1"/>
      <w:numFmt w:val="bullet"/>
      <w:lvlText w:val="-"/>
      <w:lvlJc w:val="left"/>
      <w:pPr>
        <w:ind w:left="720" w:hanging="360"/>
      </w:pPr>
      <w:rPr>
        <w:rFonts w:ascii="Aptos" w:hAnsi="Aptos" w:hint="default"/>
      </w:rPr>
    </w:lvl>
    <w:lvl w:ilvl="1" w:tplc="82DEEB7A">
      <w:start w:val="1"/>
      <w:numFmt w:val="bullet"/>
      <w:lvlText w:val="o"/>
      <w:lvlJc w:val="left"/>
      <w:pPr>
        <w:ind w:left="1440" w:hanging="360"/>
      </w:pPr>
      <w:rPr>
        <w:rFonts w:ascii="Courier New" w:hAnsi="Courier New" w:hint="default"/>
      </w:rPr>
    </w:lvl>
    <w:lvl w:ilvl="2" w:tplc="536E2E4A">
      <w:start w:val="1"/>
      <w:numFmt w:val="bullet"/>
      <w:lvlText w:val=""/>
      <w:lvlJc w:val="left"/>
      <w:pPr>
        <w:ind w:left="2160" w:hanging="360"/>
      </w:pPr>
      <w:rPr>
        <w:rFonts w:ascii="Wingdings" w:hAnsi="Wingdings" w:hint="default"/>
      </w:rPr>
    </w:lvl>
    <w:lvl w:ilvl="3" w:tplc="48E60812">
      <w:start w:val="1"/>
      <w:numFmt w:val="bullet"/>
      <w:lvlText w:val=""/>
      <w:lvlJc w:val="left"/>
      <w:pPr>
        <w:ind w:left="2880" w:hanging="360"/>
      </w:pPr>
      <w:rPr>
        <w:rFonts w:ascii="Symbol" w:hAnsi="Symbol" w:hint="default"/>
      </w:rPr>
    </w:lvl>
    <w:lvl w:ilvl="4" w:tplc="042A3706">
      <w:start w:val="1"/>
      <w:numFmt w:val="bullet"/>
      <w:lvlText w:val="o"/>
      <w:lvlJc w:val="left"/>
      <w:pPr>
        <w:ind w:left="3600" w:hanging="360"/>
      </w:pPr>
      <w:rPr>
        <w:rFonts w:ascii="Courier New" w:hAnsi="Courier New" w:hint="default"/>
      </w:rPr>
    </w:lvl>
    <w:lvl w:ilvl="5" w:tplc="697C2B72">
      <w:start w:val="1"/>
      <w:numFmt w:val="bullet"/>
      <w:lvlText w:val=""/>
      <w:lvlJc w:val="left"/>
      <w:pPr>
        <w:ind w:left="4320" w:hanging="360"/>
      </w:pPr>
      <w:rPr>
        <w:rFonts w:ascii="Wingdings" w:hAnsi="Wingdings" w:hint="default"/>
      </w:rPr>
    </w:lvl>
    <w:lvl w:ilvl="6" w:tplc="3CAE5560">
      <w:start w:val="1"/>
      <w:numFmt w:val="bullet"/>
      <w:lvlText w:val=""/>
      <w:lvlJc w:val="left"/>
      <w:pPr>
        <w:ind w:left="5040" w:hanging="360"/>
      </w:pPr>
      <w:rPr>
        <w:rFonts w:ascii="Symbol" w:hAnsi="Symbol" w:hint="default"/>
      </w:rPr>
    </w:lvl>
    <w:lvl w:ilvl="7" w:tplc="970C2436">
      <w:start w:val="1"/>
      <w:numFmt w:val="bullet"/>
      <w:lvlText w:val="o"/>
      <w:lvlJc w:val="left"/>
      <w:pPr>
        <w:ind w:left="5760" w:hanging="360"/>
      </w:pPr>
      <w:rPr>
        <w:rFonts w:ascii="Courier New" w:hAnsi="Courier New" w:hint="default"/>
      </w:rPr>
    </w:lvl>
    <w:lvl w:ilvl="8" w:tplc="A25C4678">
      <w:start w:val="1"/>
      <w:numFmt w:val="bullet"/>
      <w:lvlText w:val=""/>
      <w:lvlJc w:val="left"/>
      <w:pPr>
        <w:ind w:left="6480" w:hanging="360"/>
      </w:pPr>
      <w:rPr>
        <w:rFonts w:ascii="Wingdings" w:hAnsi="Wingdings" w:hint="default"/>
      </w:rPr>
    </w:lvl>
  </w:abstractNum>
  <w:abstractNum w:abstractNumId="21" w15:restartNumberingAfterBreak="0">
    <w:nsid w:val="46363D73"/>
    <w:multiLevelType w:val="hybridMultilevel"/>
    <w:tmpl w:val="49BE72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92F44C6"/>
    <w:multiLevelType w:val="hybridMultilevel"/>
    <w:tmpl w:val="C0B42990"/>
    <w:lvl w:ilvl="0" w:tplc="51A24EF6">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EB54BB4"/>
    <w:multiLevelType w:val="hybridMultilevel"/>
    <w:tmpl w:val="CEA2A56C"/>
    <w:lvl w:ilvl="0" w:tplc="D9FA081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F954730"/>
    <w:multiLevelType w:val="hybridMultilevel"/>
    <w:tmpl w:val="AD7CDEAE"/>
    <w:lvl w:ilvl="0" w:tplc="26CEFC32">
      <w:start w:val="79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0127CD7"/>
    <w:multiLevelType w:val="hybridMultilevel"/>
    <w:tmpl w:val="FB80F296"/>
    <w:lvl w:ilvl="0" w:tplc="F614DD36">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3FBC788"/>
    <w:multiLevelType w:val="hybridMultilevel"/>
    <w:tmpl w:val="4E30DFDA"/>
    <w:lvl w:ilvl="0" w:tplc="48680A16">
      <w:start w:val="1"/>
      <w:numFmt w:val="bullet"/>
      <w:lvlText w:val="-"/>
      <w:lvlJc w:val="left"/>
      <w:pPr>
        <w:ind w:left="720" w:hanging="360"/>
      </w:pPr>
      <w:rPr>
        <w:rFonts w:ascii="Aptos" w:hAnsi="Aptos" w:hint="default"/>
      </w:rPr>
    </w:lvl>
    <w:lvl w:ilvl="1" w:tplc="3DCADE7C">
      <w:start w:val="1"/>
      <w:numFmt w:val="bullet"/>
      <w:lvlText w:val="o"/>
      <w:lvlJc w:val="left"/>
      <w:pPr>
        <w:ind w:left="1440" w:hanging="360"/>
      </w:pPr>
      <w:rPr>
        <w:rFonts w:ascii="Courier New" w:hAnsi="Courier New" w:hint="default"/>
      </w:rPr>
    </w:lvl>
    <w:lvl w:ilvl="2" w:tplc="C82CF20C">
      <w:start w:val="1"/>
      <w:numFmt w:val="bullet"/>
      <w:lvlText w:val=""/>
      <w:lvlJc w:val="left"/>
      <w:pPr>
        <w:ind w:left="2160" w:hanging="360"/>
      </w:pPr>
      <w:rPr>
        <w:rFonts w:ascii="Wingdings" w:hAnsi="Wingdings" w:hint="default"/>
      </w:rPr>
    </w:lvl>
    <w:lvl w:ilvl="3" w:tplc="5310E470">
      <w:start w:val="1"/>
      <w:numFmt w:val="bullet"/>
      <w:lvlText w:val=""/>
      <w:lvlJc w:val="left"/>
      <w:pPr>
        <w:ind w:left="2880" w:hanging="360"/>
      </w:pPr>
      <w:rPr>
        <w:rFonts w:ascii="Symbol" w:hAnsi="Symbol" w:hint="default"/>
      </w:rPr>
    </w:lvl>
    <w:lvl w:ilvl="4" w:tplc="44EC852A">
      <w:start w:val="1"/>
      <w:numFmt w:val="bullet"/>
      <w:lvlText w:val="o"/>
      <w:lvlJc w:val="left"/>
      <w:pPr>
        <w:ind w:left="3600" w:hanging="360"/>
      </w:pPr>
      <w:rPr>
        <w:rFonts w:ascii="Courier New" w:hAnsi="Courier New" w:hint="default"/>
      </w:rPr>
    </w:lvl>
    <w:lvl w:ilvl="5" w:tplc="0F36F4EE">
      <w:start w:val="1"/>
      <w:numFmt w:val="bullet"/>
      <w:lvlText w:val=""/>
      <w:lvlJc w:val="left"/>
      <w:pPr>
        <w:ind w:left="4320" w:hanging="360"/>
      </w:pPr>
      <w:rPr>
        <w:rFonts w:ascii="Wingdings" w:hAnsi="Wingdings" w:hint="default"/>
      </w:rPr>
    </w:lvl>
    <w:lvl w:ilvl="6" w:tplc="0D8E7FE8">
      <w:start w:val="1"/>
      <w:numFmt w:val="bullet"/>
      <w:lvlText w:val=""/>
      <w:lvlJc w:val="left"/>
      <w:pPr>
        <w:ind w:left="5040" w:hanging="360"/>
      </w:pPr>
      <w:rPr>
        <w:rFonts w:ascii="Symbol" w:hAnsi="Symbol" w:hint="default"/>
      </w:rPr>
    </w:lvl>
    <w:lvl w:ilvl="7" w:tplc="44BAFF56">
      <w:start w:val="1"/>
      <w:numFmt w:val="bullet"/>
      <w:lvlText w:val="o"/>
      <w:lvlJc w:val="left"/>
      <w:pPr>
        <w:ind w:left="5760" w:hanging="360"/>
      </w:pPr>
      <w:rPr>
        <w:rFonts w:ascii="Courier New" w:hAnsi="Courier New" w:hint="default"/>
      </w:rPr>
    </w:lvl>
    <w:lvl w:ilvl="8" w:tplc="4F7E263A">
      <w:start w:val="1"/>
      <w:numFmt w:val="bullet"/>
      <w:lvlText w:val=""/>
      <w:lvlJc w:val="left"/>
      <w:pPr>
        <w:ind w:left="6480" w:hanging="360"/>
      </w:pPr>
      <w:rPr>
        <w:rFonts w:ascii="Wingdings" w:hAnsi="Wingdings" w:hint="default"/>
      </w:rPr>
    </w:lvl>
  </w:abstractNum>
  <w:abstractNum w:abstractNumId="27" w15:restartNumberingAfterBreak="0">
    <w:nsid w:val="5CA7F5C8"/>
    <w:multiLevelType w:val="hybridMultilevel"/>
    <w:tmpl w:val="01BA7F80"/>
    <w:lvl w:ilvl="0" w:tplc="C64A9A5C">
      <w:start w:val="1"/>
      <w:numFmt w:val="bullet"/>
      <w:lvlText w:val="-"/>
      <w:lvlJc w:val="left"/>
      <w:pPr>
        <w:ind w:left="720" w:hanging="360"/>
      </w:pPr>
      <w:rPr>
        <w:rFonts w:ascii="Aptos" w:hAnsi="Aptos" w:hint="default"/>
      </w:rPr>
    </w:lvl>
    <w:lvl w:ilvl="1" w:tplc="5B0EADD0">
      <w:start w:val="1"/>
      <w:numFmt w:val="bullet"/>
      <w:lvlText w:val="o"/>
      <w:lvlJc w:val="left"/>
      <w:pPr>
        <w:ind w:left="1440" w:hanging="360"/>
      </w:pPr>
      <w:rPr>
        <w:rFonts w:ascii="Courier New" w:hAnsi="Courier New" w:hint="default"/>
      </w:rPr>
    </w:lvl>
    <w:lvl w:ilvl="2" w:tplc="AA0AD8A0">
      <w:start w:val="1"/>
      <w:numFmt w:val="bullet"/>
      <w:lvlText w:val=""/>
      <w:lvlJc w:val="left"/>
      <w:pPr>
        <w:ind w:left="2160" w:hanging="360"/>
      </w:pPr>
      <w:rPr>
        <w:rFonts w:ascii="Wingdings" w:hAnsi="Wingdings" w:hint="default"/>
      </w:rPr>
    </w:lvl>
    <w:lvl w:ilvl="3" w:tplc="2FEE4184">
      <w:start w:val="1"/>
      <w:numFmt w:val="bullet"/>
      <w:lvlText w:val=""/>
      <w:lvlJc w:val="left"/>
      <w:pPr>
        <w:ind w:left="2880" w:hanging="360"/>
      </w:pPr>
      <w:rPr>
        <w:rFonts w:ascii="Symbol" w:hAnsi="Symbol" w:hint="default"/>
      </w:rPr>
    </w:lvl>
    <w:lvl w:ilvl="4" w:tplc="F6C46BA0">
      <w:start w:val="1"/>
      <w:numFmt w:val="bullet"/>
      <w:lvlText w:val="o"/>
      <w:lvlJc w:val="left"/>
      <w:pPr>
        <w:ind w:left="3600" w:hanging="360"/>
      </w:pPr>
      <w:rPr>
        <w:rFonts w:ascii="Courier New" w:hAnsi="Courier New" w:hint="default"/>
      </w:rPr>
    </w:lvl>
    <w:lvl w:ilvl="5" w:tplc="617ADEA0">
      <w:start w:val="1"/>
      <w:numFmt w:val="bullet"/>
      <w:lvlText w:val=""/>
      <w:lvlJc w:val="left"/>
      <w:pPr>
        <w:ind w:left="4320" w:hanging="360"/>
      </w:pPr>
      <w:rPr>
        <w:rFonts w:ascii="Wingdings" w:hAnsi="Wingdings" w:hint="default"/>
      </w:rPr>
    </w:lvl>
    <w:lvl w:ilvl="6" w:tplc="5FB6508C">
      <w:start w:val="1"/>
      <w:numFmt w:val="bullet"/>
      <w:lvlText w:val=""/>
      <w:lvlJc w:val="left"/>
      <w:pPr>
        <w:ind w:left="5040" w:hanging="360"/>
      </w:pPr>
      <w:rPr>
        <w:rFonts w:ascii="Symbol" w:hAnsi="Symbol" w:hint="default"/>
      </w:rPr>
    </w:lvl>
    <w:lvl w:ilvl="7" w:tplc="780AAE96">
      <w:start w:val="1"/>
      <w:numFmt w:val="bullet"/>
      <w:lvlText w:val="o"/>
      <w:lvlJc w:val="left"/>
      <w:pPr>
        <w:ind w:left="5760" w:hanging="360"/>
      </w:pPr>
      <w:rPr>
        <w:rFonts w:ascii="Courier New" w:hAnsi="Courier New" w:hint="default"/>
      </w:rPr>
    </w:lvl>
    <w:lvl w:ilvl="8" w:tplc="49B871EC">
      <w:start w:val="1"/>
      <w:numFmt w:val="bullet"/>
      <w:lvlText w:val=""/>
      <w:lvlJc w:val="left"/>
      <w:pPr>
        <w:ind w:left="6480" w:hanging="360"/>
      </w:pPr>
      <w:rPr>
        <w:rFonts w:ascii="Wingdings" w:hAnsi="Wingdings" w:hint="default"/>
      </w:rPr>
    </w:lvl>
  </w:abstractNum>
  <w:abstractNum w:abstractNumId="28" w15:restartNumberingAfterBreak="0">
    <w:nsid w:val="656F32E3"/>
    <w:multiLevelType w:val="hybridMultilevel"/>
    <w:tmpl w:val="06624156"/>
    <w:lvl w:ilvl="0" w:tplc="8654D020">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67F2736B"/>
    <w:multiLevelType w:val="hybridMultilevel"/>
    <w:tmpl w:val="53E01A56"/>
    <w:lvl w:ilvl="0" w:tplc="67E4173A">
      <w:numFmt w:val="bullet"/>
      <w:lvlText w:val="-"/>
      <w:lvlJc w:val="left"/>
      <w:pPr>
        <w:ind w:left="720" w:hanging="360"/>
      </w:pPr>
      <w:rPr>
        <w:rFonts w:ascii="Calibri" w:eastAsia="Calibri" w:hAnsi="Calibri" w:cs="Calibri"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E6D1E6C"/>
    <w:multiLevelType w:val="hybridMultilevel"/>
    <w:tmpl w:val="E908947E"/>
    <w:lvl w:ilvl="0" w:tplc="5CD02D9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A973983"/>
    <w:multiLevelType w:val="hybridMultilevel"/>
    <w:tmpl w:val="2946D248"/>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2" w15:restartNumberingAfterBreak="0">
    <w:nsid w:val="7B65336A"/>
    <w:multiLevelType w:val="hybridMultilevel"/>
    <w:tmpl w:val="53A0ABF4"/>
    <w:lvl w:ilvl="0" w:tplc="A6A21E24">
      <w:start w:val="2013"/>
      <w:numFmt w:val="bullet"/>
      <w:lvlText w:val=""/>
      <w:lvlJc w:val="left"/>
      <w:pPr>
        <w:ind w:left="4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BD38EDD"/>
    <w:multiLevelType w:val="hybridMultilevel"/>
    <w:tmpl w:val="F06E3788"/>
    <w:lvl w:ilvl="0" w:tplc="D80CC044">
      <w:start w:val="1"/>
      <w:numFmt w:val="bullet"/>
      <w:lvlText w:val="-"/>
      <w:lvlJc w:val="left"/>
      <w:pPr>
        <w:ind w:left="720" w:hanging="360"/>
      </w:pPr>
      <w:rPr>
        <w:rFonts w:ascii="Aptos" w:hAnsi="Aptos" w:hint="default"/>
      </w:rPr>
    </w:lvl>
    <w:lvl w:ilvl="1" w:tplc="A9D85B24">
      <w:start w:val="1"/>
      <w:numFmt w:val="bullet"/>
      <w:lvlText w:val="o"/>
      <w:lvlJc w:val="left"/>
      <w:pPr>
        <w:ind w:left="1440" w:hanging="360"/>
      </w:pPr>
      <w:rPr>
        <w:rFonts w:ascii="Courier New" w:hAnsi="Courier New" w:hint="default"/>
      </w:rPr>
    </w:lvl>
    <w:lvl w:ilvl="2" w:tplc="E76E08CE">
      <w:start w:val="1"/>
      <w:numFmt w:val="bullet"/>
      <w:lvlText w:val=""/>
      <w:lvlJc w:val="left"/>
      <w:pPr>
        <w:ind w:left="2160" w:hanging="360"/>
      </w:pPr>
      <w:rPr>
        <w:rFonts w:ascii="Wingdings" w:hAnsi="Wingdings" w:hint="default"/>
      </w:rPr>
    </w:lvl>
    <w:lvl w:ilvl="3" w:tplc="2DB83072">
      <w:start w:val="1"/>
      <w:numFmt w:val="bullet"/>
      <w:lvlText w:val=""/>
      <w:lvlJc w:val="left"/>
      <w:pPr>
        <w:ind w:left="2880" w:hanging="360"/>
      </w:pPr>
      <w:rPr>
        <w:rFonts w:ascii="Symbol" w:hAnsi="Symbol" w:hint="default"/>
      </w:rPr>
    </w:lvl>
    <w:lvl w:ilvl="4" w:tplc="156AF48A">
      <w:start w:val="1"/>
      <w:numFmt w:val="bullet"/>
      <w:lvlText w:val="o"/>
      <w:lvlJc w:val="left"/>
      <w:pPr>
        <w:ind w:left="3600" w:hanging="360"/>
      </w:pPr>
      <w:rPr>
        <w:rFonts w:ascii="Courier New" w:hAnsi="Courier New" w:hint="default"/>
      </w:rPr>
    </w:lvl>
    <w:lvl w:ilvl="5" w:tplc="D5A47C4A">
      <w:start w:val="1"/>
      <w:numFmt w:val="bullet"/>
      <w:lvlText w:val=""/>
      <w:lvlJc w:val="left"/>
      <w:pPr>
        <w:ind w:left="4320" w:hanging="360"/>
      </w:pPr>
      <w:rPr>
        <w:rFonts w:ascii="Wingdings" w:hAnsi="Wingdings" w:hint="default"/>
      </w:rPr>
    </w:lvl>
    <w:lvl w:ilvl="6" w:tplc="AE92954E">
      <w:start w:val="1"/>
      <w:numFmt w:val="bullet"/>
      <w:lvlText w:val=""/>
      <w:lvlJc w:val="left"/>
      <w:pPr>
        <w:ind w:left="5040" w:hanging="360"/>
      </w:pPr>
      <w:rPr>
        <w:rFonts w:ascii="Symbol" w:hAnsi="Symbol" w:hint="default"/>
      </w:rPr>
    </w:lvl>
    <w:lvl w:ilvl="7" w:tplc="64520432">
      <w:start w:val="1"/>
      <w:numFmt w:val="bullet"/>
      <w:lvlText w:val="o"/>
      <w:lvlJc w:val="left"/>
      <w:pPr>
        <w:ind w:left="5760" w:hanging="360"/>
      </w:pPr>
      <w:rPr>
        <w:rFonts w:ascii="Courier New" w:hAnsi="Courier New" w:hint="default"/>
      </w:rPr>
    </w:lvl>
    <w:lvl w:ilvl="8" w:tplc="4852EFD2">
      <w:start w:val="1"/>
      <w:numFmt w:val="bullet"/>
      <w:lvlText w:val=""/>
      <w:lvlJc w:val="left"/>
      <w:pPr>
        <w:ind w:left="6480" w:hanging="360"/>
      </w:pPr>
      <w:rPr>
        <w:rFonts w:ascii="Wingdings" w:hAnsi="Wingdings" w:hint="default"/>
      </w:rPr>
    </w:lvl>
  </w:abstractNum>
  <w:abstractNum w:abstractNumId="34" w15:restartNumberingAfterBreak="0">
    <w:nsid w:val="7C5F16A8"/>
    <w:multiLevelType w:val="hybridMultilevel"/>
    <w:tmpl w:val="B810BF36"/>
    <w:lvl w:ilvl="0" w:tplc="F614DD36">
      <w:numFmt w:val="bullet"/>
      <w:lvlText w:val="-"/>
      <w:lvlJc w:val="left"/>
      <w:pPr>
        <w:ind w:left="360" w:hanging="360"/>
      </w:pPr>
      <w:rPr>
        <w:rFonts w:ascii="Calibri" w:eastAsia="Times New Roman" w:hAnsi="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16cid:durableId="1450930072">
    <w:abstractNumId w:val="33"/>
  </w:num>
  <w:num w:numId="2" w16cid:durableId="1844004543">
    <w:abstractNumId w:val="17"/>
  </w:num>
  <w:num w:numId="3" w16cid:durableId="193925059">
    <w:abstractNumId w:val="26"/>
  </w:num>
  <w:num w:numId="4" w16cid:durableId="1922983618">
    <w:abstractNumId w:val="20"/>
  </w:num>
  <w:num w:numId="5" w16cid:durableId="1036738137">
    <w:abstractNumId w:val="27"/>
  </w:num>
  <w:num w:numId="6" w16cid:durableId="1960257515">
    <w:abstractNumId w:val="14"/>
  </w:num>
  <w:num w:numId="7" w16cid:durableId="1728797951">
    <w:abstractNumId w:val="9"/>
  </w:num>
  <w:num w:numId="8" w16cid:durableId="1161383273">
    <w:abstractNumId w:val="11"/>
  </w:num>
  <w:num w:numId="9" w16cid:durableId="1082873521">
    <w:abstractNumId w:val="25"/>
  </w:num>
  <w:num w:numId="10" w16cid:durableId="1943300840">
    <w:abstractNumId w:val="0"/>
  </w:num>
  <w:num w:numId="11" w16cid:durableId="1638026275">
    <w:abstractNumId w:val="30"/>
  </w:num>
  <w:num w:numId="12" w16cid:durableId="1547181941">
    <w:abstractNumId w:val="10"/>
  </w:num>
  <w:num w:numId="13" w16cid:durableId="26491802">
    <w:abstractNumId w:val="7"/>
  </w:num>
  <w:num w:numId="14" w16cid:durableId="398945131">
    <w:abstractNumId w:val="23"/>
  </w:num>
  <w:num w:numId="15" w16cid:durableId="1862666076">
    <w:abstractNumId w:val="5"/>
  </w:num>
  <w:num w:numId="16" w16cid:durableId="827021480">
    <w:abstractNumId w:val="28"/>
  </w:num>
  <w:num w:numId="17" w16cid:durableId="260920595">
    <w:abstractNumId w:val="1"/>
  </w:num>
  <w:num w:numId="18" w16cid:durableId="1922448400">
    <w:abstractNumId w:val="32"/>
  </w:num>
  <w:num w:numId="19" w16cid:durableId="1353990727">
    <w:abstractNumId w:val="22"/>
  </w:num>
  <w:num w:numId="20" w16cid:durableId="645939190">
    <w:abstractNumId w:val="13"/>
  </w:num>
  <w:num w:numId="21" w16cid:durableId="1767997014">
    <w:abstractNumId w:val="12"/>
  </w:num>
  <w:num w:numId="22" w16cid:durableId="1249192468">
    <w:abstractNumId w:val="6"/>
  </w:num>
  <w:num w:numId="23" w16cid:durableId="2139181883">
    <w:abstractNumId w:val="2"/>
  </w:num>
  <w:num w:numId="24" w16cid:durableId="509639567">
    <w:abstractNumId w:val="16"/>
  </w:num>
  <w:num w:numId="25" w16cid:durableId="2123374112">
    <w:abstractNumId w:val="24"/>
  </w:num>
  <w:num w:numId="26" w16cid:durableId="1331374178">
    <w:abstractNumId w:val="15"/>
  </w:num>
  <w:num w:numId="27" w16cid:durableId="576131640">
    <w:abstractNumId w:val="18"/>
  </w:num>
  <w:num w:numId="28" w16cid:durableId="643311125">
    <w:abstractNumId w:val="4"/>
  </w:num>
  <w:num w:numId="29" w16cid:durableId="40370862">
    <w:abstractNumId w:val="3"/>
  </w:num>
  <w:num w:numId="30" w16cid:durableId="1206989040">
    <w:abstractNumId w:val="31"/>
  </w:num>
  <w:num w:numId="31" w16cid:durableId="684136057">
    <w:abstractNumId w:val="21"/>
  </w:num>
  <w:num w:numId="32" w16cid:durableId="1447769371">
    <w:abstractNumId w:val="19"/>
  </w:num>
  <w:num w:numId="33" w16cid:durableId="1676030882">
    <w:abstractNumId w:val="8"/>
  </w:num>
  <w:num w:numId="34" w16cid:durableId="552038968">
    <w:abstractNumId w:val="18"/>
  </w:num>
  <w:num w:numId="35" w16cid:durableId="45108442">
    <w:abstractNumId w:val="34"/>
  </w:num>
  <w:num w:numId="36" w16cid:durableId="93868630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08"/>
  <w:hyphenationZone w:val="425"/>
  <w:characterSpacingControl w:val="doNotCompress"/>
  <w:hdrShapeDefaults>
    <o:shapedefaults v:ext="edit" spidmax="2050"/>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PWAFVersion" w:val="5.0"/>
  </w:docVars>
  <w:rsids>
    <w:rsidRoot w:val="00262CD5"/>
    <w:rsid w:val="00002423"/>
    <w:rsid w:val="0000358F"/>
    <w:rsid w:val="00006ED4"/>
    <w:rsid w:val="00007C87"/>
    <w:rsid w:val="00010D83"/>
    <w:rsid w:val="00012D88"/>
    <w:rsid w:val="00020948"/>
    <w:rsid w:val="00020AEC"/>
    <w:rsid w:val="00020BC2"/>
    <w:rsid w:val="000322EA"/>
    <w:rsid w:val="00032804"/>
    <w:rsid w:val="00037227"/>
    <w:rsid w:val="00040323"/>
    <w:rsid w:val="00045939"/>
    <w:rsid w:val="0004687C"/>
    <w:rsid w:val="000505EA"/>
    <w:rsid w:val="0005107F"/>
    <w:rsid w:val="000515F9"/>
    <w:rsid w:val="00052C81"/>
    <w:rsid w:val="00053E58"/>
    <w:rsid w:val="00055B45"/>
    <w:rsid w:val="0005628C"/>
    <w:rsid w:val="0005EA97"/>
    <w:rsid w:val="0006046E"/>
    <w:rsid w:val="0006068A"/>
    <w:rsid w:val="0006288C"/>
    <w:rsid w:val="00064A77"/>
    <w:rsid w:val="0006559E"/>
    <w:rsid w:val="00065E6F"/>
    <w:rsid w:val="000663AD"/>
    <w:rsid w:val="00067154"/>
    <w:rsid w:val="000675FE"/>
    <w:rsid w:val="000704F2"/>
    <w:rsid w:val="000704F5"/>
    <w:rsid w:val="00072423"/>
    <w:rsid w:val="000733F8"/>
    <w:rsid w:val="00074792"/>
    <w:rsid w:val="00074C58"/>
    <w:rsid w:val="00076A4A"/>
    <w:rsid w:val="00077CCD"/>
    <w:rsid w:val="0008043E"/>
    <w:rsid w:val="00081DDE"/>
    <w:rsid w:val="000821A9"/>
    <w:rsid w:val="0008290A"/>
    <w:rsid w:val="00086B18"/>
    <w:rsid w:val="00087DB6"/>
    <w:rsid w:val="00090971"/>
    <w:rsid w:val="000911C1"/>
    <w:rsid w:val="00091EDB"/>
    <w:rsid w:val="00094E0B"/>
    <w:rsid w:val="00095258"/>
    <w:rsid w:val="000953A8"/>
    <w:rsid w:val="00095F64"/>
    <w:rsid w:val="00095FFD"/>
    <w:rsid w:val="000A2348"/>
    <w:rsid w:val="000A28A9"/>
    <w:rsid w:val="000A531E"/>
    <w:rsid w:val="000A6B1B"/>
    <w:rsid w:val="000A7501"/>
    <w:rsid w:val="000B111C"/>
    <w:rsid w:val="000B2A2F"/>
    <w:rsid w:val="000B345C"/>
    <w:rsid w:val="000B56AE"/>
    <w:rsid w:val="000C33BA"/>
    <w:rsid w:val="000C3B4C"/>
    <w:rsid w:val="000C58C4"/>
    <w:rsid w:val="000D0B76"/>
    <w:rsid w:val="000D4483"/>
    <w:rsid w:val="000D4BA7"/>
    <w:rsid w:val="000D6AB0"/>
    <w:rsid w:val="000E40A6"/>
    <w:rsid w:val="000E74E3"/>
    <w:rsid w:val="000F1FF0"/>
    <w:rsid w:val="000F5748"/>
    <w:rsid w:val="00100BDA"/>
    <w:rsid w:val="00102B46"/>
    <w:rsid w:val="00106EB5"/>
    <w:rsid w:val="001077CC"/>
    <w:rsid w:val="00111392"/>
    <w:rsid w:val="00112767"/>
    <w:rsid w:val="00112CD9"/>
    <w:rsid w:val="00117740"/>
    <w:rsid w:val="0012086F"/>
    <w:rsid w:val="0013013B"/>
    <w:rsid w:val="001306B8"/>
    <w:rsid w:val="0013181F"/>
    <w:rsid w:val="001325F7"/>
    <w:rsid w:val="00135D88"/>
    <w:rsid w:val="00135DC0"/>
    <w:rsid w:val="001360A3"/>
    <w:rsid w:val="001361EE"/>
    <w:rsid w:val="001413C8"/>
    <w:rsid w:val="00141D13"/>
    <w:rsid w:val="00143867"/>
    <w:rsid w:val="00143BAF"/>
    <w:rsid w:val="00145478"/>
    <w:rsid w:val="00147718"/>
    <w:rsid w:val="0015064D"/>
    <w:rsid w:val="001529C5"/>
    <w:rsid w:val="00155A4B"/>
    <w:rsid w:val="00157A52"/>
    <w:rsid w:val="00157AB2"/>
    <w:rsid w:val="0016147E"/>
    <w:rsid w:val="00162BAB"/>
    <w:rsid w:val="001702C1"/>
    <w:rsid w:val="00171FC2"/>
    <w:rsid w:val="00172819"/>
    <w:rsid w:val="00173A73"/>
    <w:rsid w:val="00177F36"/>
    <w:rsid w:val="001809C3"/>
    <w:rsid w:val="00180C3F"/>
    <w:rsid w:val="0018114E"/>
    <w:rsid w:val="001813D5"/>
    <w:rsid w:val="0018218B"/>
    <w:rsid w:val="001829B8"/>
    <w:rsid w:val="0018371D"/>
    <w:rsid w:val="00186578"/>
    <w:rsid w:val="00191347"/>
    <w:rsid w:val="00191A28"/>
    <w:rsid w:val="00193877"/>
    <w:rsid w:val="00193F63"/>
    <w:rsid w:val="001947DE"/>
    <w:rsid w:val="00194A30"/>
    <w:rsid w:val="001952A3"/>
    <w:rsid w:val="001A10BB"/>
    <w:rsid w:val="001A11FB"/>
    <w:rsid w:val="001A56DA"/>
    <w:rsid w:val="001A6336"/>
    <w:rsid w:val="001A6D72"/>
    <w:rsid w:val="001B0A52"/>
    <w:rsid w:val="001B160E"/>
    <w:rsid w:val="001B441C"/>
    <w:rsid w:val="001B5E6F"/>
    <w:rsid w:val="001C1058"/>
    <w:rsid w:val="001C2DB3"/>
    <w:rsid w:val="001C33BD"/>
    <w:rsid w:val="001C3C93"/>
    <w:rsid w:val="001C7BC0"/>
    <w:rsid w:val="001D0867"/>
    <w:rsid w:val="001D0DD5"/>
    <w:rsid w:val="001D1C3B"/>
    <w:rsid w:val="001D23FD"/>
    <w:rsid w:val="001D6C91"/>
    <w:rsid w:val="001E165B"/>
    <w:rsid w:val="001E2CDD"/>
    <w:rsid w:val="001E3C5A"/>
    <w:rsid w:val="001E60F4"/>
    <w:rsid w:val="001F1E8C"/>
    <w:rsid w:val="001F1F8A"/>
    <w:rsid w:val="001F4BF4"/>
    <w:rsid w:val="001F5C48"/>
    <w:rsid w:val="002000EC"/>
    <w:rsid w:val="002009B2"/>
    <w:rsid w:val="00201DEC"/>
    <w:rsid w:val="00202873"/>
    <w:rsid w:val="002078F3"/>
    <w:rsid w:val="00214863"/>
    <w:rsid w:val="00215BBF"/>
    <w:rsid w:val="002177E6"/>
    <w:rsid w:val="002209F3"/>
    <w:rsid w:val="00221E8E"/>
    <w:rsid w:val="002255FB"/>
    <w:rsid w:val="00225BF7"/>
    <w:rsid w:val="00226D6C"/>
    <w:rsid w:val="00227CE8"/>
    <w:rsid w:val="00231B6B"/>
    <w:rsid w:val="0023244E"/>
    <w:rsid w:val="00234AC8"/>
    <w:rsid w:val="00235E63"/>
    <w:rsid w:val="002409E3"/>
    <w:rsid w:val="00240C40"/>
    <w:rsid w:val="00244A4C"/>
    <w:rsid w:val="00245BA9"/>
    <w:rsid w:val="0024707E"/>
    <w:rsid w:val="00251E63"/>
    <w:rsid w:val="00255BBB"/>
    <w:rsid w:val="00256AEE"/>
    <w:rsid w:val="00257EBF"/>
    <w:rsid w:val="002620A2"/>
    <w:rsid w:val="00262CD5"/>
    <w:rsid w:val="00265B49"/>
    <w:rsid w:val="00271093"/>
    <w:rsid w:val="0027467A"/>
    <w:rsid w:val="002756FD"/>
    <w:rsid w:val="00280D5A"/>
    <w:rsid w:val="002817A5"/>
    <w:rsid w:val="002818CF"/>
    <w:rsid w:val="002823E3"/>
    <w:rsid w:val="00284C58"/>
    <w:rsid w:val="00286A22"/>
    <w:rsid w:val="002876EA"/>
    <w:rsid w:val="00294370"/>
    <w:rsid w:val="002A0DC7"/>
    <w:rsid w:val="002A4B22"/>
    <w:rsid w:val="002A4E4E"/>
    <w:rsid w:val="002A4F51"/>
    <w:rsid w:val="002A569D"/>
    <w:rsid w:val="002B1850"/>
    <w:rsid w:val="002B1D81"/>
    <w:rsid w:val="002B259E"/>
    <w:rsid w:val="002B337A"/>
    <w:rsid w:val="002B6379"/>
    <w:rsid w:val="002B6EE2"/>
    <w:rsid w:val="002B7E92"/>
    <w:rsid w:val="002C0717"/>
    <w:rsid w:val="002C0D76"/>
    <w:rsid w:val="002C4731"/>
    <w:rsid w:val="002C4F55"/>
    <w:rsid w:val="002C650C"/>
    <w:rsid w:val="002D0A5C"/>
    <w:rsid w:val="002D1FD7"/>
    <w:rsid w:val="002D2AA7"/>
    <w:rsid w:val="002D2E04"/>
    <w:rsid w:val="002E07D0"/>
    <w:rsid w:val="002E4A72"/>
    <w:rsid w:val="002E792F"/>
    <w:rsid w:val="002F0813"/>
    <w:rsid w:val="002F173C"/>
    <w:rsid w:val="002F49BA"/>
    <w:rsid w:val="00300AB2"/>
    <w:rsid w:val="00303C92"/>
    <w:rsid w:val="0031202D"/>
    <w:rsid w:val="00313379"/>
    <w:rsid w:val="00313EB7"/>
    <w:rsid w:val="003151BC"/>
    <w:rsid w:val="00315EF4"/>
    <w:rsid w:val="00316821"/>
    <w:rsid w:val="00322F94"/>
    <w:rsid w:val="00323055"/>
    <w:rsid w:val="00325D1E"/>
    <w:rsid w:val="003269F0"/>
    <w:rsid w:val="00327341"/>
    <w:rsid w:val="0033015B"/>
    <w:rsid w:val="003350ED"/>
    <w:rsid w:val="00335B1B"/>
    <w:rsid w:val="00336E45"/>
    <w:rsid w:val="00336EC0"/>
    <w:rsid w:val="00337B1E"/>
    <w:rsid w:val="00340F26"/>
    <w:rsid w:val="00344CCB"/>
    <w:rsid w:val="00346B7E"/>
    <w:rsid w:val="00346C91"/>
    <w:rsid w:val="003476B8"/>
    <w:rsid w:val="003530D9"/>
    <w:rsid w:val="00353E1A"/>
    <w:rsid w:val="00356150"/>
    <w:rsid w:val="0035625E"/>
    <w:rsid w:val="00357BDB"/>
    <w:rsid w:val="003608EC"/>
    <w:rsid w:val="00362201"/>
    <w:rsid w:val="003635F4"/>
    <w:rsid w:val="00363F33"/>
    <w:rsid w:val="00367069"/>
    <w:rsid w:val="003671F3"/>
    <w:rsid w:val="00370DEA"/>
    <w:rsid w:val="003710B5"/>
    <w:rsid w:val="003711D4"/>
    <w:rsid w:val="00371F8B"/>
    <w:rsid w:val="00375596"/>
    <w:rsid w:val="0037579A"/>
    <w:rsid w:val="00380281"/>
    <w:rsid w:val="0038270D"/>
    <w:rsid w:val="003838CF"/>
    <w:rsid w:val="00383CED"/>
    <w:rsid w:val="00384318"/>
    <w:rsid w:val="003A3D79"/>
    <w:rsid w:val="003A5A99"/>
    <w:rsid w:val="003A6438"/>
    <w:rsid w:val="003A7455"/>
    <w:rsid w:val="003A79A4"/>
    <w:rsid w:val="003C042C"/>
    <w:rsid w:val="003C4E9B"/>
    <w:rsid w:val="003C5768"/>
    <w:rsid w:val="003C76CA"/>
    <w:rsid w:val="003D0913"/>
    <w:rsid w:val="003D1C5F"/>
    <w:rsid w:val="003D1D46"/>
    <w:rsid w:val="003D7B42"/>
    <w:rsid w:val="003E08D3"/>
    <w:rsid w:val="003E3287"/>
    <w:rsid w:val="003E3D77"/>
    <w:rsid w:val="003E442D"/>
    <w:rsid w:val="003F1930"/>
    <w:rsid w:val="003F6591"/>
    <w:rsid w:val="00401741"/>
    <w:rsid w:val="00401EB3"/>
    <w:rsid w:val="00404A6C"/>
    <w:rsid w:val="00404B75"/>
    <w:rsid w:val="004054F3"/>
    <w:rsid w:val="0041209D"/>
    <w:rsid w:val="004127C1"/>
    <w:rsid w:val="004133C2"/>
    <w:rsid w:val="00415C3B"/>
    <w:rsid w:val="00417A7E"/>
    <w:rsid w:val="004214DC"/>
    <w:rsid w:val="00421702"/>
    <w:rsid w:val="00421866"/>
    <w:rsid w:val="0042256A"/>
    <w:rsid w:val="004237EC"/>
    <w:rsid w:val="0043036F"/>
    <w:rsid w:val="00431B5B"/>
    <w:rsid w:val="00431BB0"/>
    <w:rsid w:val="0044060D"/>
    <w:rsid w:val="00440AFB"/>
    <w:rsid w:val="00441613"/>
    <w:rsid w:val="00441EC3"/>
    <w:rsid w:val="00442056"/>
    <w:rsid w:val="004421B8"/>
    <w:rsid w:val="00442214"/>
    <w:rsid w:val="00445B71"/>
    <w:rsid w:val="004501B3"/>
    <w:rsid w:val="00452483"/>
    <w:rsid w:val="0045412C"/>
    <w:rsid w:val="00457E23"/>
    <w:rsid w:val="004611BC"/>
    <w:rsid w:val="004638F2"/>
    <w:rsid w:val="004703F9"/>
    <w:rsid w:val="00471A49"/>
    <w:rsid w:val="0047211A"/>
    <w:rsid w:val="004724EE"/>
    <w:rsid w:val="00472836"/>
    <w:rsid w:val="0047324A"/>
    <w:rsid w:val="0047356A"/>
    <w:rsid w:val="004767C6"/>
    <w:rsid w:val="004774DB"/>
    <w:rsid w:val="00477E0A"/>
    <w:rsid w:val="00480954"/>
    <w:rsid w:val="00483C25"/>
    <w:rsid w:val="00484355"/>
    <w:rsid w:val="004845C8"/>
    <w:rsid w:val="00487FE2"/>
    <w:rsid w:val="00490104"/>
    <w:rsid w:val="00492351"/>
    <w:rsid w:val="0049382B"/>
    <w:rsid w:val="00494713"/>
    <w:rsid w:val="004A1B0D"/>
    <w:rsid w:val="004A3712"/>
    <w:rsid w:val="004A4CD3"/>
    <w:rsid w:val="004A5DCF"/>
    <w:rsid w:val="004B564A"/>
    <w:rsid w:val="004B592F"/>
    <w:rsid w:val="004B697D"/>
    <w:rsid w:val="004C2A37"/>
    <w:rsid w:val="004C5899"/>
    <w:rsid w:val="004C5C99"/>
    <w:rsid w:val="004C7D52"/>
    <w:rsid w:val="004D39E7"/>
    <w:rsid w:val="004D4303"/>
    <w:rsid w:val="004D45BE"/>
    <w:rsid w:val="004D4B91"/>
    <w:rsid w:val="004D6730"/>
    <w:rsid w:val="004E02FF"/>
    <w:rsid w:val="004E1711"/>
    <w:rsid w:val="004E2EBD"/>
    <w:rsid w:val="004E302C"/>
    <w:rsid w:val="004E32FA"/>
    <w:rsid w:val="004E525C"/>
    <w:rsid w:val="004F11A3"/>
    <w:rsid w:val="004F641E"/>
    <w:rsid w:val="004F6B37"/>
    <w:rsid w:val="00504021"/>
    <w:rsid w:val="00504757"/>
    <w:rsid w:val="00505331"/>
    <w:rsid w:val="00507E62"/>
    <w:rsid w:val="005153DA"/>
    <w:rsid w:val="00517B4C"/>
    <w:rsid w:val="00520CF5"/>
    <w:rsid w:val="00521A9C"/>
    <w:rsid w:val="0053538E"/>
    <w:rsid w:val="005414AE"/>
    <w:rsid w:val="00542340"/>
    <w:rsid w:val="005446E1"/>
    <w:rsid w:val="005534DB"/>
    <w:rsid w:val="005610D1"/>
    <w:rsid w:val="00571A6D"/>
    <w:rsid w:val="00572B58"/>
    <w:rsid w:val="00575A5B"/>
    <w:rsid w:val="00575B53"/>
    <w:rsid w:val="00575D61"/>
    <w:rsid w:val="00576350"/>
    <w:rsid w:val="005813C5"/>
    <w:rsid w:val="005816F3"/>
    <w:rsid w:val="005833F4"/>
    <w:rsid w:val="0058680A"/>
    <w:rsid w:val="00590A74"/>
    <w:rsid w:val="00590F2C"/>
    <w:rsid w:val="00592420"/>
    <w:rsid w:val="00592ED0"/>
    <w:rsid w:val="005934E6"/>
    <w:rsid w:val="00593C83"/>
    <w:rsid w:val="00596FDF"/>
    <w:rsid w:val="005A3F01"/>
    <w:rsid w:val="005A6F21"/>
    <w:rsid w:val="005A7C92"/>
    <w:rsid w:val="005B152C"/>
    <w:rsid w:val="005C04AF"/>
    <w:rsid w:val="005C09E5"/>
    <w:rsid w:val="005C24AD"/>
    <w:rsid w:val="005C4F2C"/>
    <w:rsid w:val="005C51E7"/>
    <w:rsid w:val="005C58E7"/>
    <w:rsid w:val="005C63D5"/>
    <w:rsid w:val="005C66B7"/>
    <w:rsid w:val="005C7421"/>
    <w:rsid w:val="005C74D9"/>
    <w:rsid w:val="005C7D7F"/>
    <w:rsid w:val="005D08C8"/>
    <w:rsid w:val="005D08DB"/>
    <w:rsid w:val="005D5FA8"/>
    <w:rsid w:val="005E091D"/>
    <w:rsid w:val="005E1146"/>
    <w:rsid w:val="005E330A"/>
    <w:rsid w:val="005E4605"/>
    <w:rsid w:val="005E4B47"/>
    <w:rsid w:val="005F309D"/>
    <w:rsid w:val="005F3830"/>
    <w:rsid w:val="005F4D5D"/>
    <w:rsid w:val="006010D3"/>
    <w:rsid w:val="00601BB5"/>
    <w:rsid w:val="00603E78"/>
    <w:rsid w:val="00612F42"/>
    <w:rsid w:val="00614EDF"/>
    <w:rsid w:val="00615089"/>
    <w:rsid w:val="00615B38"/>
    <w:rsid w:val="00615CED"/>
    <w:rsid w:val="006206B3"/>
    <w:rsid w:val="00621CB9"/>
    <w:rsid w:val="00622229"/>
    <w:rsid w:val="006225C9"/>
    <w:rsid w:val="00622644"/>
    <w:rsid w:val="006276E3"/>
    <w:rsid w:val="006303E3"/>
    <w:rsid w:val="00630E13"/>
    <w:rsid w:val="00631ED9"/>
    <w:rsid w:val="00634D1D"/>
    <w:rsid w:val="00634F63"/>
    <w:rsid w:val="006353A7"/>
    <w:rsid w:val="006377DB"/>
    <w:rsid w:val="00640BD8"/>
    <w:rsid w:val="0064480F"/>
    <w:rsid w:val="00644D74"/>
    <w:rsid w:val="0064504D"/>
    <w:rsid w:val="0064732B"/>
    <w:rsid w:val="006479CD"/>
    <w:rsid w:val="00651EDE"/>
    <w:rsid w:val="006542DB"/>
    <w:rsid w:val="00656F7F"/>
    <w:rsid w:val="006604AA"/>
    <w:rsid w:val="00660F89"/>
    <w:rsid w:val="00662D89"/>
    <w:rsid w:val="0066352A"/>
    <w:rsid w:val="0066376A"/>
    <w:rsid w:val="006646BA"/>
    <w:rsid w:val="00665240"/>
    <w:rsid w:val="0067017A"/>
    <w:rsid w:val="00670664"/>
    <w:rsid w:val="0067079A"/>
    <w:rsid w:val="006709FA"/>
    <w:rsid w:val="00671FBC"/>
    <w:rsid w:val="006733C7"/>
    <w:rsid w:val="006757EF"/>
    <w:rsid w:val="0067716C"/>
    <w:rsid w:val="00682DDD"/>
    <w:rsid w:val="0068577C"/>
    <w:rsid w:val="00685830"/>
    <w:rsid w:val="0068729A"/>
    <w:rsid w:val="00687598"/>
    <w:rsid w:val="00687638"/>
    <w:rsid w:val="00695026"/>
    <w:rsid w:val="00695DC4"/>
    <w:rsid w:val="00695F17"/>
    <w:rsid w:val="0069719C"/>
    <w:rsid w:val="006973EF"/>
    <w:rsid w:val="006A056E"/>
    <w:rsid w:val="006A67FD"/>
    <w:rsid w:val="006A6DB6"/>
    <w:rsid w:val="006B1CAE"/>
    <w:rsid w:val="006B272F"/>
    <w:rsid w:val="006B31DF"/>
    <w:rsid w:val="006B325C"/>
    <w:rsid w:val="006B52B7"/>
    <w:rsid w:val="006C1C45"/>
    <w:rsid w:val="006C3921"/>
    <w:rsid w:val="006C4D48"/>
    <w:rsid w:val="006D1EA6"/>
    <w:rsid w:val="006D2522"/>
    <w:rsid w:val="006D3CE0"/>
    <w:rsid w:val="006D592D"/>
    <w:rsid w:val="006E70E0"/>
    <w:rsid w:val="006F0D9E"/>
    <w:rsid w:val="006F45EA"/>
    <w:rsid w:val="007008F1"/>
    <w:rsid w:val="007025BD"/>
    <w:rsid w:val="0070565D"/>
    <w:rsid w:val="00707CE6"/>
    <w:rsid w:val="007153E0"/>
    <w:rsid w:val="00716885"/>
    <w:rsid w:val="00717257"/>
    <w:rsid w:val="00725250"/>
    <w:rsid w:val="00730501"/>
    <w:rsid w:val="00736344"/>
    <w:rsid w:val="00742624"/>
    <w:rsid w:val="00743DCE"/>
    <w:rsid w:val="00746AB9"/>
    <w:rsid w:val="007475CF"/>
    <w:rsid w:val="00751E68"/>
    <w:rsid w:val="00756390"/>
    <w:rsid w:val="00757975"/>
    <w:rsid w:val="007633A0"/>
    <w:rsid w:val="00767D39"/>
    <w:rsid w:val="00770668"/>
    <w:rsid w:val="0077097A"/>
    <w:rsid w:val="00771070"/>
    <w:rsid w:val="00771CC1"/>
    <w:rsid w:val="00771CC6"/>
    <w:rsid w:val="007735B2"/>
    <w:rsid w:val="00773741"/>
    <w:rsid w:val="00775BB7"/>
    <w:rsid w:val="007768FD"/>
    <w:rsid w:val="00776B6F"/>
    <w:rsid w:val="00780031"/>
    <w:rsid w:val="00782B28"/>
    <w:rsid w:val="00784E08"/>
    <w:rsid w:val="00786AAD"/>
    <w:rsid w:val="0079230F"/>
    <w:rsid w:val="0079475E"/>
    <w:rsid w:val="00794C62"/>
    <w:rsid w:val="007A0BB0"/>
    <w:rsid w:val="007A0CC6"/>
    <w:rsid w:val="007A78EB"/>
    <w:rsid w:val="007B45C5"/>
    <w:rsid w:val="007B46A6"/>
    <w:rsid w:val="007B47C6"/>
    <w:rsid w:val="007B52B1"/>
    <w:rsid w:val="007B5E6C"/>
    <w:rsid w:val="007C11A7"/>
    <w:rsid w:val="007C79C4"/>
    <w:rsid w:val="007C7F27"/>
    <w:rsid w:val="007D0E34"/>
    <w:rsid w:val="007D0E75"/>
    <w:rsid w:val="007D1C11"/>
    <w:rsid w:val="007D450B"/>
    <w:rsid w:val="007D63F2"/>
    <w:rsid w:val="007D71F0"/>
    <w:rsid w:val="007D7F92"/>
    <w:rsid w:val="007E03C2"/>
    <w:rsid w:val="007E1F95"/>
    <w:rsid w:val="007E2638"/>
    <w:rsid w:val="007E2831"/>
    <w:rsid w:val="007E4645"/>
    <w:rsid w:val="007E7945"/>
    <w:rsid w:val="007F344F"/>
    <w:rsid w:val="007F3CC6"/>
    <w:rsid w:val="007F3D7B"/>
    <w:rsid w:val="007F4864"/>
    <w:rsid w:val="007F4E50"/>
    <w:rsid w:val="007F5B94"/>
    <w:rsid w:val="007F6375"/>
    <w:rsid w:val="007F6F81"/>
    <w:rsid w:val="00800491"/>
    <w:rsid w:val="00802544"/>
    <w:rsid w:val="00802786"/>
    <w:rsid w:val="00804222"/>
    <w:rsid w:val="00810B85"/>
    <w:rsid w:val="0081304F"/>
    <w:rsid w:val="00814144"/>
    <w:rsid w:val="008147FA"/>
    <w:rsid w:val="00814E91"/>
    <w:rsid w:val="00817A31"/>
    <w:rsid w:val="00821D34"/>
    <w:rsid w:val="0082252D"/>
    <w:rsid w:val="00824882"/>
    <w:rsid w:val="00826268"/>
    <w:rsid w:val="008263E6"/>
    <w:rsid w:val="00830EF8"/>
    <w:rsid w:val="008314E2"/>
    <w:rsid w:val="00831F26"/>
    <w:rsid w:val="00832D45"/>
    <w:rsid w:val="00833DBE"/>
    <w:rsid w:val="00835207"/>
    <w:rsid w:val="00835CA8"/>
    <w:rsid w:val="008379E6"/>
    <w:rsid w:val="00840BB5"/>
    <w:rsid w:val="00840D79"/>
    <w:rsid w:val="00842CB8"/>
    <w:rsid w:val="0084477B"/>
    <w:rsid w:val="00853AF5"/>
    <w:rsid w:val="008548BD"/>
    <w:rsid w:val="00854ADA"/>
    <w:rsid w:val="0085523C"/>
    <w:rsid w:val="00857164"/>
    <w:rsid w:val="00860FBD"/>
    <w:rsid w:val="0086154C"/>
    <w:rsid w:val="00863C2F"/>
    <w:rsid w:val="00865F8D"/>
    <w:rsid w:val="008661B4"/>
    <w:rsid w:val="00872CE2"/>
    <w:rsid w:val="00875FB0"/>
    <w:rsid w:val="0087FAC7"/>
    <w:rsid w:val="00881DB8"/>
    <w:rsid w:val="008828FC"/>
    <w:rsid w:val="00882918"/>
    <w:rsid w:val="00884788"/>
    <w:rsid w:val="00885DB6"/>
    <w:rsid w:val="00886124"/>
    <w:rsid w:val="008879E1"/>
    <w:rsid w:val="008903F6"/>
    <w:rsid w:val="008911CA"/>
    <w:rsid w:val="008937B3"/>
    <w:rsid w:val="008946D1"/>
    <w:rsid w:val="00895B5E"/>
    <w:rsid w:val="008A08DE"/>
    <w:rsid w:val="008A16C7"/>
    <w:rsid w:val="008A1841"/>
    <w:rsid w:val="008A2699"/>
    <w:rsid w:val="008A61EB"/>
    <w:rsid w:val="008B052F"/>
    <w:rsid w:val="008B19FA"/>
    <w:rsid w:val="008B1F52"/>
    <w:rsid w:val="008B59D3"/>
    <w:rsid w:val="008B717D"/>
    <w:rsid w:val="008B7550"/>
    <w:rsid w:val="008C03FC"/>
    <w:rsid w:val="008C25BE"/>
    <w:rsid w:val="008C3FAB"/>
    <w:rsid w:val="008C7923"/>
    <w:rsid w:val="008D073D"/>
    <w:rsid w:val="008D16F7"/>
    <w:rsid w:val="008D16FA"/>
    <w:rsid w:val="008D22AC"/>
    <w:rsid w:val="008D61AA"/>
    <w:rsid w:val="008E05B1"/>
    <w:rsid w:val="008E416D"/>
    <w:rsid w:val="008E4776"/>
    <w:rsid w:val="008F1848"/>
    <w:rsid w:val="008F6E2D"/>
    <w:rsid w:val="008F7BFE"/>
    <w:rsid w:val="00900066"/>
    <w:rsid w:val="009003FE"/>
    <w:rsid w:val="0090103C"/>
    <w:rsid w:val="009019CA"/>
    <w:rsid w:val="009025E3"/>
    <w:rsid w:val="00904DBA"/>
    <w:rsid w:val="0091053B"/>
    <w:rsid w:val="00912212"/>
    <w:rsid w:val="009149AC"/>
    <w:rsid w:val="009158AB"/>
    <w:rsid w:val="009161DD"/>
    <w:rsid w:val="00922FAA"/>
    <w:rsid w:val="00925760"/>
    <w:rsid w:val="00926891"/>
    <w:rsid w:val="00927C7D"/>
    <w:rsid w:val="00927E15"/>
    <w:rsid w:val="00933159"/>
    <w:rsid w:val="00936C83"/>
    <w:rsid w:val="00936D2A"/>
    <w:rsid w:val="00941913"/>
    <w:rsid w:val="0094436B"/>
    <w:rsid w:val="00946592"/>
    <w:rsid w:val="00950EBF"/>
    <w:rsid w:val="00951848"/>
    <w:rsid w:val="0095238C"/>
    <w:rsid w:val="00952CEF"/>
    <w:rsid w:val="00957681"/>
    <w:rsid w:val="009625AA"/>
    <w:rsid w:val="00962A03"/>
    <w:rsid w:val="00962EE2"/>
    <w:rsid w:val="00966C89"/>
    <w:rsid w:val="009672E8"/>
    <w:rsid w:val="009703A2"/>
    <w:rsid w:val="00970D2A"/>
    <w:rsid w:val="009712CF"/>
    <w:rsid w:val="009720AB"/>
    <w:rsid w:val="00972896"/>
    <w:rsid w:val="00972C60"/>
    <w:rsid w:val="009764C3"/>
    <w:rsid w:val="00981E8A"/>
    <w:rsid w:val="0098248E"/>
    <w:rsid w:val="0098340E"/>
    <w:rsid w:val="00985EDD"/>
    <w:rsid w:val="00985FF6"/>
    <w:rsid w:val="0099243F"/>
    <w:rsid w:val="009924B5"/>
    <w:rsid w:val="00992756"/>
    <w:rsid w:val="00997C98"/>
    <w:rsid w:val="009A1AF3"/>
    <w:rsid w:val="009A6467"/>
    <w:rsid w:val="009A6A57"/>
    <w:rsid w:val="009B08FF"/>
    <w:rsid w:val="009B1CE2"/>
    <w:rsid w:val="009B3FE1"/>
    <w:rsid w:val="009B501C"/>
    <w:rsid w:val="009B71B6"/>
    <w:rsid w:val="009B7437"/>
    <w:rsid w:val="009C04F0"/>
    <w:rsid w:val="009C2E4D"/>
    <w:rsid w:val="009C3C68"/>
    <w:rsid w:val="009D2170"/>
    <w:rsid w:val="009D22AA"/>
    <w:rsid w:val="009D3E91"/>
    <w:rsid w:val="009D4050"/>
    <w:rsid w:val="009D4214"/>
    <w:rsid w:val="009D4A92"/>
    <w:rsid w:val="009D7154"/>
    <w:rsid w:val="009D7BF8"/>
    <w:rsid w:val="009E1546"/>
    <w:rsid w:val="009E2C4B"/>
    <w:rsid w:val="009E5777"/>
    <w:rsid w:val="009E7265"/>
    <w:rsid w:val="009E7A43"/>
    <w:rsid w:val="009F329D"/>
    <w:rsid w:val="009F4BD9"/>
    <w:rsid w:val="009F5BC2"/>
    <w:rsid w:val="009F6A26"/>
    <w:rsid w:val="00A00C29"/>
    <w:rsid w:val="00A02228"/>
    <w:rsid w:val="00A02650"/>
    <w:rsid w:val="00A055D8"/>
    <w:rsid w:val="00A07889"/>
    <w:rsid w:val="00A079D1"/>
    <w:rsid w:val="00A11983"/>
    <w:rsid w:val="00A13B3A"/>
    <w:rsid w:val="00A15FF7"/>
    <w:rsid w:val="00A25BCA"/>
    <w:rsid w:val="00A27F74"/>
    <w:rsid w:val="00A327C4"/>
    <w:rsid w:val="00A364FA"/>
    <w:rsid w:val="00A379E7"/>
    <w:rsid w:val="00A40FD1"/>
    <w:rsid w:val="00A424A0"/>
    <w:rsid w:val="00A449CB"/>
    <w:rsid w:val="00A450EC"/>
    <w:rsid w:val="00A46758"/>
    <w:rsid w:val="00A47ED0"/>
    <w:rsid w:val="00A50452"/>
    <w:rsid w:val="00A50A7B"/>
    <w:rsid w:val="00A547CB"/>
    <w:rsid w:val="00A565DC"/>
    <w:rsid w:val="00A6449A"/>
    <w:rsid w:val="00A64509"/>
    <w:rsid w:val="00A6592E"/>
    <w:rsid w:val="00A708E2"/>
    <w:rsid w:val="00A70A65"/>
    <w:rsid w:val="00A71182"/>
    <w:rsid w:val="00A7198F"/>
    <w:rsid w:val="00A74A49"/>
    <w:rsid w:val="00A7627E"/>
    <w:rsid w:val="00A84693"/>
    <w:rsid w:val="00A87AFC"/>
    <w:rsid w:val="00A95693"/>
    <w:rsid w:val="00A967C9"/>
    <w:rsid w:val="00A96FF9"/>
    <w:rsid w:val="00AA0586"/>
    <w:rsid w:val="00AA1125"/>
    <w:rsid w:val="00AA3583"/>
    <w:rsid w:val="00AA4455"/>
    <w:rsid w:val="00AA4A0F"/>
    <w:rsid w:val="00AA512B"/>
    <w:rsid w:val="00AA5A35"/>
    <w:rsid w:val="00AB2C1E"/>
    <w:rsid w:val="00AB3493"/>
    <w:rsid w:val="00AB725A"/>
    <w:rsid w:val="00AC06AD"/>
    <w:rsid w:val="00AC29F5"/>
    <w:rsid w:val="00AC50D4"/>
    <w:rsid w:val="00AC731C"/>
    <w:rsid w:val="00AD7089"/>
    <w:rsid w:val="00AE1A7E"/>
    <w:rsid w:val="00AE2518"/>
    <w:rsid w:val="00AE3FD9"/>
    <w:rsid w:val="00AE4A0C"/>
    <w:rsid w:val="00AF23F6"/>
    <w:rsid w:val="00AF50EA"/>
    <w:rsid w:val="00AF5207"/>
    <w:rsid w:val="00AF6133"/>
    <w:rsid w:val="00AF77DD"/>
    <w:rsid w:val="00B00D67"/>
    <w:rsid w:val="00B05977"/>
    <w:rsid w:val="00B05A4E"/>
    <w:rsid w:val="00B05C8D"/>
    <w:rsid w:val="00B1040D"/>
    <w:rsid w:val="00B10A89"/>
    <w:rsid w:val="00B10AD9"/>
    <w:rsid w:val="00B124C7"/>
    <w:rsid w:val="00B137F3"/>
    <w:rsid w:val="00B13F96"/>
    <w:rsid w:val="00B170EA"/>
    <w:rsid w:val="00B2224D"/>
    <w:rsid w:val="00B225FC"/>
    <w:rsid w:val="00B24460"/>
    <w:rsid w:val="00B319A8"/>
    <w:rsid w:val="00B3458E"/>
    <w:rsid w:val="00B34DF9"/>
    <w:rsid w:val="00B4766E"/>
    <w:rsid w:val="00B538F7"/>
    <w:rsid w:val="00B53D08"/>
    <w:rsid w:val="00B54B92"/>
    <w:rsid w:val="00B55116"/>
    <w:rsid w:val="00B553A6"/>
    <w:rsid w:val="00B57A8F"/>
    <w:rsid w:val="00B62ACD"/>
    <w:rsid w:val="00B67F31"/>
    <w:rsid w:val="00B70FB5"/>
    <w:rsid w:val="00B711AF"/>
    <w:rsid w:val="00B724EA"/>
    <w:rsid w:val="00B733FF"/>
    <w:rsid w:val="00B7751F"/>
    <w:rsid w:val="00B77705"/>
    <w:rsid w:val="00B801BD"/>
    <w:rsid w:val="00B80A82"/>
    <w:rsid w:val="00B81A63"/>
    <w:rsid w:val="00B81F3C"/>
    <w:rsid w:val="00B833B4"/>
    <w:rsid w:val="00B837CB"/>
    <w:rsid w:val="00B83EDC"/>
    <w:rsid w:val="00B83EF3"/>
    <w:rsid w:val="00B862C6"/>
    <w:rsid w:val="00B86EE0"/>
    <w:rsid w:val="00B92791"/>
    <w:rsid w:val="00B9407F"/>
    <w:rsid w:val="00B941FC"/>
    <w:rsid w:val="00B956F7"/>
    <w:rsid w:val="00B96885"/>
    <w:rsid w:val="00B97076"/>
    <w:rsid w:val="00B974D8"/>
    <w:rsid w:val="00B977C7"/>
    <w:rsid w:val="00BA0E84"/>
    <w:rsid w:val="00BA2509"/>
    <w:rsid w:val="00BA339B"/>
    <w:rsid w:val="00BA4910"/>
    <w:rsid w:val="00BA4C7C"/>
    <w:rsid w:val="00BA5320"/>
    <w:rsid w:val="00BB1431"/>
    <w:rsid w:val="00BB18D1"/>
    <w:rsid w:val="00BB2119"/>
    <w:rsid w:val="00BB2E10"/>
    <w:rsid w:val="00BB3A9E"/>
    <w:rsid w:val="00BB5C78"/>
    <w:rsid w:val="00BB7DFC"/>
    <w:rsid w:val="00BC06AA"/>
    <w:rsid w:val="00BC1FEB"/>
    <w:rsid w:val="00BC38A4"/>
    <w:rsid w:val="00BC43E4"/>
    <w:rsid w:val="00BC7DFF"/>
    <w:rsid w:val="00BD0E62"/>
    <w:rsid w:val="00BD22C3"/>
    <w:rsid w:val="00BD53E1"/>
    <w:rsid w:val="00BD6AE3"/>
    <w:rsid w:val="00BD74CA"/>
    <w:rsid w:val="00BE0911"/>
    <w:rsid w:val="00BE4030"/>
    <w:rsid w:val="00BE4D6A"/>
    <w:rsid w:val="00BE525F"/>
    <w:rsid w:val="00BE67DC"/>
    <w:rsid w:val="00BF04CB"/>
    <w:rsid w:val="00BF16CA"/>
    <w:rsid w:val="00BF2E1C"/>
    <w:rsid w:val="00BF3A46"/>
    <w:rsid w:val="00BF3C65"/>
    <w:rsid w:val="00BF3F58"/>
    <w:rsid w:val="00BF73CF"/>
    <w:rsid w:val="00BF7521"/>
    <w:rsid w:val="00BF7D0B"/>
    <w:rsid w:val="00C0022E"/>
    <w:rsid w:val="00C00872"/>
    <w:rsid w:val="00C00E68"/>
    <w:rsid w:val="00C020EE"/>
    <w:rsid w:val="00C0293B"/>
    <w:rsid w:val="00C0369B"/>
    <w:rsid w:val="00C043F1"/>
    <w:rsid w:val="00C04C8E"/>
    <w:rsid w:val="00C10534"/>
    <w:rsid w:val="00C11413"/>
    <w:rsid w:val="00C12250"/>
    <w:rsid w:val="00C12CDC"/>
    <w:rsid w:val="00C14D36"/>
    <w:rsid w:val="00C15BD5"/>
    <w:rsid w:val="00C169A3"/>
    <w:rsid w:val="00C208DC"/>
    <w:rsid w:val="00C2260D"/>
    <w:rsid w:val="00C22BDF"/>
    <w:rsid w:val="00C255FE"/>
    <w:rsid w:val="00C260A8"/>
    <w:rsid w:val="00C26265"/>
    <w:rsid w:val="00C26DD3"/>
    <w:rsid w:val="00C2719A"/>
    <w:rsid w:val="00C2759C"/>
    <w:rsid w:val="00C27684"/>
    <w:rsid w:val="00C2770E"/>
    <w:rsid w:val="00C322D8"/>
    <w:rsid w:val="00C344C5"/>
    <w:rsid w:val="00C36704"/>
    <w:rsid w:val="00C41E17"/>
    <w:rsid w:val="00C472B7"/>
    <w:rsid w:val="00C47D3A"/>
    <w:rsid w:val="00C52ACF"/>
    <w:rsid w:val="00C56A5A"/>
    <w:rsid w:val="00C56F20"/>
    <w:rsid w:val="00C57138"/>
    <w:rsid w:val="00C61DC7"/>
    <w:rsid w:val="00C638EF"/>
    <w:rsid w:val="00C64148"/>
    <w:rsid w:val="00C646D9"/>
    <w:rsid w:val="00C65BFC"/>
    <w:rsid w:val="00C66E2D"/>
    <w:rsid w:val="00C71063"/>
    <w:rsid w:val="00C715B1"/>
    <w:rsid w:val="00C72594"/>
    <w:rsid w:val="00C7403B"/>
    <w:rsid w:val="00C74DE3"/>
    <w:rsid w:val="00C7626B"/>
    <w:rsid w:val="00C7709A"/>
    <w:rsid w:val="00C8089D"/>
    <w:rsid w:val="00C80C60"/>
    <w:rsid w:val="00C86D9C"/>
    <w:rsid w:val="00C92F45"/>
    <w:rsid w:val="00C93416"/>
    <w:rsid w:val="00C9385C"/>
    <w:rsid w:val="00C9584D"/>
    <w:rsid w:val="00CA4364"/>
    <w:rsid w:val="00CA53A4"/>
    <w:rsid w:val="00CA6CE9"/>
    <w:rsid w:val="00CB0DEE"/>
    <w:rsid w:val="00CB10B2"/>
    <w:rsid w:val="00CB2A0B"/>
    <w:rsid w:val="00CB789A"/>
    <w:rsid w:val="00CB7D6C"/>
    <w:rsid w:val="00CC1A20"/>
    <w:rsid w:val="00CC3303"/>
    <w:rsid w:val="00CC3AC2"/>
    <w:rsid w:val="00CC5979"/>
    <w:rsid w:val="00CC6BE1"/>
    <w:rsid w:val="00CC7A35"/>
    <w:rsid w:val="00CD1835"/>
    <w:rsid w:val="00CD1C84"/>
    <w:rsid w:val="00CD2E1C"/>
    <w:rsid w:val="00CD4EBB"/>
    <w:rsid w:val="00CD581A"/>
    <w:rsid w:val="00CD5A6A"/>
    <w:rsid w:val="00CD6B53"/>
    <w:rsid w:val="00CD7878"/>
    <w:rsid w:val="00CD7B48"/>
    <w:rsid w:val="00CE0CBC"/>
    <w:rsid w:val="00CE4105"/>
    <w:rsid w:val="00CE419B"/>
    <w:rsid w:val="00CE7AE4"/>
    <w:rsid w:val="00CF247E"/>
    <w:rsid w:val="00CF3A93"/>
    <w:rsid w:val="00CF531C"/>
    <w:rsid w:val="00CF5847"/>
    <w:rsid w:val="00CF5FAA"/>
    <w:rsid w:val="00CF60BB"/>
    <w:rsid w:val="00CF6286"/>
    <w:rsid w:val="00CF7008"/>
    <w:rsid w:val="00CF78B2"/>
    <w:rsid w:val="00D00B2C"/>
    <w:rsid w:val="00D0281C"/>
    <w:rsid w:val="00D02AA0"/>
    <w:rsid w:val="00D044E8"/>
    <w:rsid w:val="00D06256"/>
    <w:rsid w:val="00D12722"/>
    <w:rsid w:val="00D136F8"/>
    <w:rsid w:val="00D13E7B"/>
    <w:rsid w:val="00D173FE"/>
    <w:rsid w:val="00D17E3D"/>
    <w:rsid w:val="00D17FA1"/>
    <w:rsid w:val="00D213A7"/>
    <w:rsid w:val="00D228C3"/>
    <w:rsid w:val="00D239A6"/>
    <w:rsid w:val="00D241C2"/>
    <w:rsid w:val="00D27154"/>
    <w:rsid w:val="00D329EF"/>
    <w:rsid w:val="00D33162"/>
    <w:rsid w:val="00D367C9"/>
    <w:rsid w:val="00D445C9"/>
    <w:rsid w:val="00D51084"/>
    <w:rsid w:val="00D5279B"/>
    <w:rsid w:val="00D54C4C"/>
    <w:rsid w:val="00D60D13"/>
    <w:rsid w:val="00D6223F"/>
    <w:rsid w:val="00D65DD6"/>
    <w:rsid w:val="00D67299"/>
    <w:rsid w:val="00D7585C"/>
    <w:rsid w:val="00D803C2"/>
    <w:rsid w:val="00D80D73"/>
    <w:rsid w:val="00D812EC"/>
    <w:rsid w:val="00D8713E"/>
    <w:rsid w:val="00D9430D"/>
    <w:rsid w:val="00D94C21"/>
    <w:rsid w:val="00D9624B"/>
    <w:rsid w:val="00D97C4A"/>
    <w:rsid w:val="00DA40B7"/>
    <w:rsid w:val="00DA4E8A"/>
    <w:rsid w:val="00DA6A43"/>
    <w:rsid w:val="00DA7B19"/>
    <w:rsid w:val="00DA7B66"/>
    <w:rsid w:val="00DB0CCF"/>
    <w:rsid w:val="00DB11D1"/>
    <w:rsid w:val="00DB16F7"/>
    <w:rsid w:val="00DB1A56"/>
    <w:rsid w:val="00DB48C9"/>
    <w:rsid w:val="00DB4974"/>
    <w:rsid w:val="00DB4A10"/>
    <w:rsid w:val="00DB4F46"/>
    <w:rsid w:val="00DC3989"/>
    <w:rsid w:val="00DC3994"/>
    <w:rsid w:val="00DC4B07"/>
    <w:rsid w:val="00DC5699"/>
    <w:rsid w:val="00DC5E75"/>
    <w:rsid w:val="00DD03D6"/>
    <w:rsid w:val="00DD0D58"/>
    <w:rsid w:val="00DD3973"/>
    <w:rsid w:val="00DD4891"/>
    <w:rsid w:val="00DD4CA7"/>
    <w:rsid w:val="00DD4E59"/>
    <w:rsid w:val="00DD5603"/>
    <w:rsid w:val="00DD5BBA"/>
    <w:rsid w:val="00DE0B6A"/>
    <w:rsid w:val="00DE23C1"/>
    <w:rsid w:val="00DE365A"/>
    <w:rsid w:val="00DE7323"/>
    <w:rsid w:val="00DF018F"/>
    <w:rsid w:val="00DF065F"/>
    <w:rsid w:val="00DF16DD"/>
    <w:rsid w:val="00DF7540"/>
    <w:rsid w:val="00E00888"/>
    <w:rsid w:val="00E033F5"/>
    <w:rsid w:val="00E037A1"/>
    <w:rsid w:val="00E03A8E"/>
    <w:rsid w:val="00E03F61"/>
    <w:rsid w:val="00E050DD"/>
    <w:rsid w:val="00E05EDB"/>
    <w:rsid w:val="00E107A8"/>
    <w:rsid w:val="00E10905"/>
    <w:rsid w:val="00E146DB"/>
    <w:rsid w:val="00E16717"/>
    <w:rsid w:val="00E16B34"/>
    <w:rsid w:val="00E23322"/>
    <w:rsid w:val="00E23518"/>
    <w:rsid w:val="00E23716"/>
    <w:rsid w:val="00E247A2"/>
    <w:rsid w:val="00E27DF4"/>
    <w:rsid w:val="00E30718"/>
    <w:rsid w:val="00E32A44"/>
    <w:rsid w:val="00E338E7"/>
    <w:rsid w:val="00E376F0"/>
    <w:rsid w:val="00E40503"/>
    <w:rsid w:val="00E44D3E"/>
    <w:rsid w:val="00E45403"/>
    <w:rsid w:val="00E45FBB"/>
    <w:rsid w:val="00E51DEA"/>
    <w:rsid w:val="00E51F6E"/>
    <w:rsid w:val="00E54F81"/>
    <w:rsid w:val="00E57EA1"/>
    <w:rsid w:val="00E64F8A"/>
    <w:rsid w:val="00E6644C"/>
    <w:rsid w:val="00E6691D"/>
    <w:rsid w:val="00E7038A"/>
    <w:rsid w:val="00E70FCE"/>
    <w:rsid w:val="00E71E29"/>
    <w:rsid w:val="00E768F0"/>
    <w:rsid w:val="00E85323"/>
    <w:rsid w:val="00E868DE"/>
    <w:rsid w:val="00E94714"/>
    <w:rsid w:val="00E95881"/>
    <w:rsid w:val="00EA1F78"/>
    <w:rsid w:val="00EA3D7F"/>
    <w:rsid w:val="00EA480B"/>
    <w:rsid w:val="00EA762F"/>
    <w:rsid w:val="00EB0265"/>
    <w:rsid w:val="00EB3433"/>
    <w:rsid w:val="00EB35DE"/>
    <w:rsid w:val="00EB4C7F"/>
    <w:rsid w:val="00EB5919"/>
    <w:rsid w:val="00EB6A5C"/>
    <w:rsid w:val="00EC2B18"/>
    <w:rsid w:val="00EC344F"/>
    <w:rsid w:val="00EC4973"/>
    <w:rsid w:val="00EC5C4C"/>
    <w:rsid w:val="00EC6D46"/>
    <w:rsid w:val="00EC77BA"/>
    <w:rsid w:val="00EC77F5"/>
    <w:rsid w:val="00EC7DCB"/>
    <w:rsid w:val="00ED26C4"/>
    <w:rsid w:val="00EE0CA9"/>
    <w:rsid w:val="00EE504D"/>
    <w:rsid w:val="00EE7538"/>
    <w:rsid w:val="00EE7AA7"/>
    <w:rsid w:val="00EF1109"/>
    <w:rsid w:val="00EF1EEE"/>
    <w:rsid w:val="00EF3219"/>
    <w:rsid w:val="00EF615D"/>
    <w:rsid w:val="00EF781B"/>
    <w:rsid w:val="00F018C9"/>
    <w:rsid w:val="00F047E9"/>
    <w:rsid w:val="00F05C2B"/>
    <w:rsid w:val="00F06293"/>
    <w:rsid w:val="00F06354"/>
    <w:rsid w:val="00F074FE"/>
    <w:rsid w:val="00F07DDA"/>
    <w:rsid w:val="00F10C1C"/>
    <w:rsid w:val="00F11672"/>
    <w:rsid w:val="00F12538"/>
    <w:rsid w:val="00F15CA3"/>
    <w:rsid w:val="00F17CCA"/>
    <w:rsid w:val="00F2098F"/>
    <w:rsid w:val="00F2492F"/>
    <w:rsid w:val="00F24AA4"/>
    <w:rsid w:val="00F25CEF"/>
    <w:rsid w:val="00F310BB"/>
    <w:rsid w:val="00F31114"/>
    <w:rsid w:val="00F31DDF"/>
    <w:rsid w:val="00F34357"/>
    <w:rsid w:val="00F40041"/>
    <w:rsid w:val="00F404DC"/>
    <w:rsid w:val="00F41948"/>
    <w:rsid w:val="00F44E76"/>
    <w:rsid w:val="00F452F7"/>
    <w:rsid w:val="00F50849"/>
    <w:rsid w:val="00F53ED8"/>
    <w:rsid w:val="00F61EEB"/>
    <w:rsid w:val="00F629AE"/>
    <w:rsid w:val="00F63C92"/>
    <w:rsid w:val="00F64B17"/>
    <w:rsid w:val="00F741B8"/>
    <w:rsid w:val="00F74828"/>
    <w:rsid w:val="00F761DB"/>
    <w:rsid w:val="00F76B70"/>
    <w:rsid w:val="00F77659"/>
    <w:rsid w:val="00F813E1"/>
    <w:rsid w:val="00F83755"/>
    <w:rsid w:val="00F86ABE"/>
    <w:rsid w:val="00F925DE"/>
    <w:rsid w:val="00F95569"/>
    <w:rsid w:val="00F95901"/>
    <w:rsid w:val="00F95A9C"/>
    <w:rsid w:val="00F95DDE"/>
    <w:rsid w:val="00F960C1"/>
    <w:rsid w:val="00FA163E"/>
    <w:rsid w:val="00FA177A"/>
    <w:rsid w:val="00FA28FD"/>
    <w:rsid w:val="00FB12E4"/>
    <w:rsid w:val="00FB3B3B"/>
    <w:rsid w:val="00FB67AF"/>
    <w:rsid w:val="00FB7109"/>
    <w:rsid w:val="00FB738F"/>
    <w:rsid w:val="00FB7BBA"/>
    <w:rsid w:val="00FC6361"/>
    <w:rsid w:val="00FC7080"/>
    <w:rsid w:val="00FC7698"/>
    <w:rsid w:val="00FC7AD6"/>
    <w:rsid w:val="00FD0AA1"/>
    <w:rsid w:val="00FD0C2A"/>
    <w:rsid w:val="00FD6E0E"/>
    <w:rsid w:val="00FD717B"/>
    <w:rsid w:val="00FE3531"/>
    <w:rsid w:val="00FE69E7"/>
    <w:rsid w:val="00FF26BF"/>
    <w:rsid w:val="00FF287C"/>
    <w:rsid w:val="00FF38FB"/>
    <w:rsid w:val="00FF6616"/>
    <w:rsid w:val="00FF7859"/>
    <w:rsid w:val="011851CF"/>
    <w:rsid w:val="0130BA73"/>
    <w:rsid w:val="01821D83"/>
    <w:rsid w:val="021355F8"/>
    <w:rsid w:val="0232E9F9"/>
    <w:rsid w:val="027F0B93"/>
    <w:rsid w:val="02846C47"/>
    <w:rsid w:val="02D2E30C"/>
    <w:rsid w:val="02E5C8BC"/>
    <w:rsid w:val="0369AF28"/>
    <w:rsid w:val="036A5294"/>
    <w:rsid w:val="03C36CB7"/>
    <w:rsid w:val="03F08ADD"/>
    <w:rsid w:val="04870266"/>
    <w:rsid w:val="04A9F9DD"/>
    <w:rsid w:val="04E261E1"/>
    <w:rsid w:val="04E621F8"/>
    <w:rsid w:val="055A8AD4"/>
    <w:rsid w:val="0584B9FA"/>
    <w:rsid w:val="06492E02"/>
    <w:rsid w:val="064AAD89"/>
    <w:rsid w:val="06A32EA7"/>
    <w:rsid w:val="0758CBCE"/>
    <w:rsid w:val="0776D0D8"/>
    <w:rsid w:val="07828A3A"/>
    <w:rsid w:val="07DB476B"/>
    <w:rsid w:val="0834E744"/>
    <w:rsid w:val="087E4870"/>
    <w:rsid w:val="08F89C60"/>
    <w:rsid w:val="09323E06"/>
    <w:rsid w:val="0943E3C4"/>
    <w:rsid w:val="094A3E7F"/>
    <w:rsid w:val="097133F4"/>
    <w:rsid w:val="097C2E89"/>
    <w:rsid w:val="0A00EA46"/>
    <w:rsid w:val="0A0888E1"/>
    <w:rsid w:val="0A51FAA2"/>
    <w:rsid w:val="0AAFE938"/>
    <w:rsid w:val="0AEE0554"/>
    <w:rsid w:val="0AEE4903"/>
    <w:rsid w:val="0B0A67AC"/>
    <w:rsid w:val="0B48BF98"/>
    <w:rsid w:val="0B94C3D7"/>
    <w:rsid w:val="0BCF349D"/>
    <w:rsid w:val="0C080621"/>
    <w:rsid w:val="0C1039A8"/>
    <w:rsid w:val="0C21068B"/>
    <w:rsid w:val="0C48497E"/>
    <w:rsid w:val="0C4A8EDE"/>
    <w:rsid w:val="0C820F3C"/>
    <w:rsid w:val="0C8A08C6"/>
    <w:rsid w:val="0C94B95A"/>
    <w:rsid w:val="0CFA9694"/>
    <w:rsid w:val="0D1AADDE"/>
    <w:rsid w:val="0D4E1D3C"/>
    <w:rsid w:val="0DBBD21B"/>
    <w:rsid w:val="0DDC1580"/>
    <w:rsid w:val="0E377C7E"/>
    <w:rsid w:val="0E88C805"/>
    <w:rsid w:val="0E9A3D57"/>
    <w:rsid w:val="0EA8A6D2"/>
    <w:rsid w:val="0F5C1442"/>
    <w:rsid w:val="1073DCA9"/>
    <w:rsid w:val="1092D8D2"/>
    <w:rsid w:val="10B55CCC"/>
    <w:rsid w:val="10E30EDD"/>
    <w:rsid w:val="1174AC02"/>
    <w:rsid w:val="11B2C395"/>
    <w:rsid w:val="11C18EB5"/>
    <w:rsid w:val="11C528D3"/>
    <w:rsid w:val="11D32629"/>
    <w:rsid w:val="1257F9C3"/>
    <w:rsid w:val="1275A76F"/>
    <w:rsid w:val="1338D86D"/>
    <w:rsid w:val="13D4E56A"/>
    <w:rsid w:val="149756BF"/>
    <w:rsid w:val="15006A6F"/>
    <w:rsid w:val="152B0C40"/>
    <w:rsid w:val="160471A1"/>
    <w:rsid w:val="16098902"/>
    <w:rsid w:val="168B696A"/>
    <w:rsid w:val="16EFE305"/>
    <w:rsid w:val="17306480"/>
    <w:rsid w:val="17AC9547"/>
    <w:rsid w:val="18214F01"/>
    <w:rsid w:val="18BC4A6B"/>
    <w:rsid w:val="18CE83C7"/>
    <w:rsid w:val="18D30293"/>
    <w:rsid w:val="18F80245"/>
    <w:rsid w:val="19116F93"/>
    <w:rsid w:val="1998A8CD"/>
    <w:rsid w:val="199FB308"/>
    <w:rsid w:val="19BA1203"/>
    <w:rsid w:val="19D956BB"/>
    <w:rsid w:val="1A3E7316"/>
    <w:rsid w:val="1A441C81"/>
    <w:rsid w:val="1A7F3217"/>
    <w:rsid w:val="1AA7176D"/>
    <w:rsid w:val="1B59828E"/>
    <w:rsid w:val="1BAB0CCB"/>
    <w:rsid w:val="1BADF80B"/>
    <w:rsid w:val="1BC8D818"/>
    <w:rsid w:val="1BFFDC34"/>
    <w:rsid w:val="1CC28EE4"/>
    <w:rsid w:val="1D5E4B6E"/>
    <w:rsid w:val="1DA98FFE"/>
    <w:rsid w:val="1DE8A291"/>
    <w:rsid w:val="1DED87C8"/>
    <w:rsid w:val="1E0E774E"/>
    <w:rsid w:val="1E303276"/>
    <w:rsid w:val="1E4A783F"/>
    <w:rsid w:val="1E4D7BA7"/>
    <w:rsid w:val="1E6288BA"/>
    <w:rsid w:val="1EAEC8E2"/>
    <w:rsid w:val="1F8093CC"/>
    <w:rsid w:val="1FD78855"/>
    <w:rsid w:val="1FE1E53A"/>
    <w:rsid w:val="1FF41605"/>
    <w:rsid w:val="203B4063"/>
    <w:rsid w:val="205B4715"/>
    <w:rsid w:val="206B18F5"/>
    <w:rsid w:val="20AAA90C"/>
    <w:rsid w:val="20D1D07C"/>
    <w:rsid w:val="2153A361"/>
    <w:rsid w:val="219436B9"/>
    <w:rsid w:val="2332995B"/>
    <w:rsid w:val="2352269A"/>
    <w:rsid w:val="23E1532E"/>
    <w:rsid w:val="2530BDBF"/>
    <w:rsid w:val="256D7783"/>
    <w:rsid w:val="258054B3"/>
    <w:rsid w:val="25EFC7F7"/>
    <w:rsid w:val="25FE08E5"/>
    <w:rsid w:val="262139FA"/>
    <w:rsid w:val="264F2ECF"/>
    <w:rsid w:val="26610B1C"/>
    <w:rsid w:val="271FA57B"/>
    <w:rsid w:val="274AD9C2"/>
    <w:rsid w:val="278FB16A"/>
    <w:rsid w:val="28200A74"/>
    <w:rsid w:val="2861CAD5"/>
    <w:rsid w:val="286BFD88"/>
    <w:rsid w:val="286D2F79"/>
    <w:rsid w:val="28F2B19E"/>
    <w:rsid w:val="2921E580"/>
    <w:rsid w:val="292D4082"/>
    <w:rsid w:val="29C99D17"/>
    <w:rsid w:val="29D8A111"/>
    <w:rsid w:val="2AB44E6F"/>
    <w:rsid w:val="2AED6419"/>
    <w:rsid w:val="2B6A23AA"/>
    <w:rsid w:val="2B7911EF"/>
    <w:rsid w:val="2C93864F"/>
    <w:rsid w:val="2CBD6630"/>
    <w:rsid w:val="2CC40236"/>
    <w:rsid w:val="2CD303E4"/>
    <w:rsid w:val="2CE79A2E"/>
    <w:rsid w:val="2D1B5D2A"/>
    <w:rsid w:val="2D2F13DA"/>
    <w:rsid w:val="2D5B9D40"/>
    <w:rsid w:val="2DDA3B5B"/>
    <w:rsid w:val="2E38051C"/>
    <w:rsid w:val="2E93F573"/>
    <w:rsid w:val="2EBC1728"/>
    <w:rsid w:val="2EBD3DF9"/>
    <w:rsid w:val="2EE96429"/>
    <w:rsid w:val="2FCA884B"/>
    <w:rsid w:val="2FCC32E5"/>
    <w:rsid w:val="2FD319E9"/>
    <w:rsid w:val="2FF2154F"/>
    <w:rsid w:val="302C139B"/>
    <w:rsid w:val="309AC307"/>
    <w:rsid w:val="30A59DBC"/>
    <w:rsid w:val="3103D16C"/>
    <w:rsid w:val="3257E256"/>
    <w:rsid w:val="3294769A"/>
    <w:rsid w:val="32EAA3EC"/>
    <w:rsid w:val="32EDF1ED"/>
    <w:rsid w:val="32F5E5AD"/>
    <w:rsid w:val="33020214"/>
    <w:rsid w:val="331F1786"/>
    <w:rsid w:val="33A18337"/>
    <w:rsid w:val="33B91B19"/>
    <w:rsid w:val="33EF5297"/>
    <w:rsid w:val="3438E2D7"/>
    <w:rsid w:val="3439CDEC"/>
    <w:rsid w:val="34C74E59"/>
    <w:rsid w:val="34F9B142"/>
    <w:rsid w:val="354EEDB7"/>
    <w:rsid w:val="356260AC"/>
    <w:rsid w:val="357B7506"/>
    <w:rsid w:val="35D6AF9A"/>
    <w:rsid w:val="35EE18FA"/>
    <w:rsid w:val="36142584"/>
    <w:rsid w:val="3633BA01"/>
    <w:rsid w:val="363F3ED3"/>
    <w:rsid w:val="366707FE"/>
    <w:rsid w:val="36A237E5"/>
    <w:rsid w:val="36BD2975"/>
    <w:rsid w:val="375957F1"/>
    <w:rsid w:val="375DA1FD"/>
    <w:rsid w:val="378B24FB"/>
    <w:rsid w:val="379C04D4"/>
    <w:rsid w:val="387B65A1"/>
    <w:rsid w:val="39290FB5"/>
    <w:rsid w:val="39458519"/>
    <w:rsid w:val="396695F1"/>
    <w:rsid w:val="39966B5D"/>
    <w:rsid w:val="39ACB394"/>
    <w:rsid w:val="3AA01B61"/>
    <w:rsid w:val="3AC0A2DC"/>
    <w:rsid w:val="3AC9BD7B"/>
    <w:rsid w:val="3B3437DE"/>
    <w:rsid w:val="3B419848"/>
    <w:rsid w:val="3B891ED1"/>
    <w:rsid w:val="3BB30A9D"/>
    <w:rsid w:val="3C08A8C2"/>
    <w:rsid w:val="3C3F44B6"/>
    <w:rsid w:val="3C45A647"/>
    <w:rsid w:val="3D10CAC1"/>
    <w:rsid w:val="3D654AB9"/>
    <w:rsid w:val="3DD1C06B"/>
    <w:rsid w:val="3EC6E67B"/>
    <w:rsid w:val="3ECEA8A9"/>
    <w:rsid w:val="3FB82D92"/>
    <w:rsid w:val="3FD7C762"/>
    <w:rsid w:val="400CFF37"/>
    <w:rsid w:val="406B498E"/>
    <w:rsid w:val="4120B26A"/>
    <w:rsid w:val="4145F952"/>
    <w:rsid w:val="41A2CD56"/>
    <w:rsid w:val="420B5600"/>
    <w:rsid w:val="424AB980"/>
    <w:rsid w:val="42A34BA0"/>
    <w:rsid w:val="42C4E07D"/>
    <w:rsid w:val="42F75B1C"/>
    <w:rsid w:val="435EC4BF"/>
    <w:rsid w:val="43E012A2"/>
    <w:rsid w:val="4403DD2B"/>
    <w:rsid w:val="445722DC"/>
    <w:rsid w:val="44632E41"/>
    <w:rsid w:val="4496E0C7"/>
    <w:rsid w:val="44D997EB"/>
    <w:rsid w:val="44DE59A4"/>
    <w:rsid w:val="4532B3E9"/>
    <w:rsid w:val="4541A4B1"/>
    <w:rsid w:val="455DE97D"/>
    <w:rsid w:val="45971651"/>
    <w:rsid w:val="45F5AA81"/>
    <w:rsid w:val="4663CA45"/>
    <w:rsid w:val="466E5837"/>
    <w:rsid w:val="468CC3A8"/>
    <w:rsid w:val="46934AE1"/>
    <w:rsid w:val="46CBB087"/>
    <w:rsid w:val="470C63B9"/>
    <w:rsid w:val="4754D076"/>
    <w:rsid w:val="475AF772"/>
    <w:rsid w:val="478AF5AE"/>
    <w:rsid w:val="48581E76"/>
    <w:rsid w:val="48EE7488"/>
    <w:rsid w:val="499CF41E"/>
    <w:rsid w:val="49BC3109"/>
    <w:rsid w:val="49FDB3E5"/>
    <w:rsid w:val="4A38E8B0"/>
    <w:rsid w:val="4A6B7461"/>
    <w:rsid w:val="4A9F4D7E"/>
    <w:rsid w:val="4AE456D0"/>
    <w:rsid w:val="4B0146B2"/>
    <w:rsid w:val="4B4D38BE"/>
    <w:rsid w:val="4B9DFDE1"/>
    <w:rsid w:val="4BD3F18C"/>
    <w:rsid w:val="4C066A9F"/>
    <w:rsid w:val="4C57B83D"/>
    <w:rsid w:val="4C8DDAD2"/>
    <w:rsid w:val="4C98703F"/>
    <w:rsid w:val="4CA150BA"/>
    <w:rsid w:val="4CF025A6"/>
    <w:rsid w:val="4D0ADE08"/>
    <w:rsid w:val="4D3FC582"/>
    <w:rsid w:val="4D67A441"/>
    <w:rsid w:val="4DB759D8"/>
    <w:rsid w:val="4DDE4265"/>
    <w:rsid w:val="4EE230EA"/>
    <w:rsid w:val="4F3157A0"/>
    <w:rsid w:val="4F977915"/>
    <w:rsid w:val="4FCEA12B"/>
    <w:rsid w:val="5038E681"/>
    <w:rsid w:val="504C9067"/>
    <w:rsid w:val="5093DC70"/>
    <w:rsid w:val="50B5AF28"/>
    <w:rsid w:val="51008BE4"/>
    <w:rsid w:val="513920AD"/>
    <w:rsid w:val="51DE0B6D"/>
    <w:rsid w:val="51E419A4"/>
    <w:rsid w:val="5203E2FA"/>
    <w:rsid w:val="520CB137"/>
    <w:rsid w:val="5214D0A8"/>
    <w:rsid w:val="5218AB83"/>
    <w:rsid w:val="52202494"/>
    <w:rsid w:val="523B59D5"/>
    <w:rsid w:val="52936255"/>
    <w:rsid w:val="52FF70A5"/>
    <w:rsid w:val="5308BC86"/>
    <w:rsid w:val="54297E32"/>
    <w:rsid w:val="5484D24A"/>
    <w:rsid w:val="54AE6693"/>
    <w:rsid w:val="54E8C352"/>
    <w:rsid w:val="5500C251"/>
    <w:rsid w:val="55EFC177"/>
    <w:rsid w:val="564391C4"/>
    <w:rsid w:val="564A934E"/>
    <w:rsid w:val="5675FEE2"/>
    <w:rsid w:val="56E7E4EC"/>
    <w:rsid w:val="57591F89"/>
    <w:rsid w:val="58B35D3A"/>
    <w:rsid w:val="59847194"/>
    <w:rsid w:val="59C7E24D"/>
    <w:rsid w:val="59E542C9"/>
    <w:rsid w:val="59F53230"/>
    <w:rsid w:val="59F737F5"/>
    <w:rsid w:val="5A0BFEE3"/>
    <w:rsid w:val="5A72385A"/>
    <w:rsid w:val="5A930829"/>
    <w:rsid w:val="5B07585D"/>
    <w:rsid w:val="5B449524"/>
    <w:rsid w:val="5B61DBBD"/>
    <w:rsid w:val="5B641184"/>
    <w:rsid w:val="5B8F123F"/>
    <w:rsid w:val="5BCD8038"/>
    <w:rsid w:val="5C8DA332"/>
    <w:rsid w:val="5CB3BAF9"/>
    <w:rsid w:val="5D5F8B08"/>
    <w:rsid w:val="5D731CF1"/>
    <w:rsid w:val="5D8D08D0"/>
    <w:rsid w:val="5D8F80DF"/>
    <w:rsid w:val="5E7DEF33"/>
    <w:rsid w:val="5EDBA797"/>
    <w:rsid w:val="5F0434CD"/>
    <w:rsid w:val="5F2271BB"/>
    <w:rsid w:val="5F311E1F"/>
    <w:rsid w:val="5F54AC1E"/>
    <w:rsid w:val="5FAE9D18"/>
    <w:rsid w:val="603D1BB9"/>
    <w:rsid w:val="605E8408"/>
    <w:rsid w:val="60733D71"/>
    <w:rsid w:val="607BA55B"/>
    <w:rsid w:val="6092B21A"/>
    <w:rsid w:val="60BD8A65"/>
    <w:rsid w:val="60CD9B97"/>
    <w:rsid w:val="613FB320"/>
    <w:rsid w:val="617D94E1"/>
    <w:rsid w:val="61D1EC8D"/>
    <w:rsid w:val="61DB194A"/>
    <w:rsid w:val="62278302"/>
    <w:rsid w:val="628ECA55"/>
    <w:rsid w:val="6365D3F9"/>
    <w:rsid w:val="63804DA7"/>
    <w:rsid w:val="63A8111C"/>
    <w:rsid w:val="6443FAC5"/>
    <w:rsid w:val="6472ED71"/>
    <w:rsid w:val="64944665"/>
    <w:rsid w:val="650E2E2E"/>
    <w:rsid w:val="6531443E"/>
    <w:rsid w:val="656ADE67"/>
    <w:rsid w:val="65A45467"/>
    <w:rsid w:val="65B0054C"/>
    <w:rsid w:val="65E0E866"/>
    <w:rsid w:val="65E0F089"/>
    <w:rsid w:val="664F60CE"/>
    <w:rsid w:val="66D241E2"/>
    <w:rsid w:val="67265407"/>
    <w:rsid w:val="67339F4C"/>
    <w:rsid w:val="673C0941"/>
    <w:rsid w:val="680BB228"/>
    <w:rsid w:val="684E3117"/>
    <w:rsid w:val="685DB39F"/>
    <w:rsid w:val="68891CE8"/>
    <w:rsid w:val="68C0EB6E"/>
    <w:rsid w:val="68D58959"/>
    <w:rsid w:val="69AD8E16"/>
    <w:rsid w:val="69C5824E"/>
    <w:rsid w:val="6A28DD42"/>
    <w:rsid w:val="6A4054B3"/>
    <w:rsid w:val="6A676B1B"/>
    <w:rsid w:val="6B0805AD"/>
    <w:rsid w:val="6B155BD8"/>
    <w:rsid w:val="6B4B582C"/>
    <w:rsid w:val="6B66DEA4"/>
    <w:rsid w:val="6B9EFA0F"/>
    <w:rsid w:val="6BD33D16"/>
    <w:rsid w:val="6BE6D9DB"/>
    <w:rsid w:val="6BEF2CAB"/>
    <w:rsid w:val="6BF0EBE2"/>
    <w:rsid w:val="6C24227E"/>
    <w:rsid w:val="6C3F3FE3"/>
    <w:rsid w:val="6C6FD31A"/>
    <w:rsid w:val="6C9A4808"/>
    <w:rsid w:val="6CBABD0C"/>
    <w:rsid w:val="6CC20477"/>
    <w:rsid w:val="6CF01B16"/>
    <w:rsid w:val="6DB6D3E5"/>
    <w:rsid w:val="6DE3C2F4"/>
    <w:rsid w:val="6E14E8A2"/>
    <w:rsid w:val="6E2814CD"/>
    <w:rsid w:val="6E4B5811"/>
    <w:rsid w:val="6E541704"/>
    <w:rsid w:val="6E767442"/>
    <w:rsid w:val="6EC6C1A1"/>
    <w:rsid w:val="6ECC84D0"/>
    <w:rsid w:val="6EEE0851"/>
    <w:rsid w:val="6F1F7709"/>
    <w:rsid w:val="6F93DDF8"/>
    <w:rsid w:val="6FA6498E"/>
    <w:rsid w:val="6FCF9C66"/>
    <w:rsid w:val="700414A8"/>
    <w:rsid w:val="703E3A7B"/>
    <w:rsid w:val="7054E2E5"/>
    <w:rsid w:val="707D32B5"/>
    <w:rsid w:val="70881003"/>
    <w:rsid w:val="709C4785"/>
    <w:rsid w:val="70A5613B"/>
    <w:rsid w:val="710AAEF3"/>
    <w:rsid w:val="710BF7BE"/>
    <w:rsid w:val="712B3AC6"/>
    <w:rsid w:val="717AB306"/>
    <w:rsid w:val="723A162E"/>
    <w:rsid w:val="723FA919"/>
    <w:rsid w:val="72CE3AFA"/>
    <w:rsid w:val="736A9EEB"/>
    <w:rsid w:val="73854757"/>
    <w:rsid w:val="73943AEF"/>
    <w:rsid w:val="73962C3A"/>
    <w:rsid w:val="7430DE0B"/>
    <w:rsid w:val="745CC998"/>
    <w:rsid w:val="74E9D5E7"/>
    <w:rsid w:val="74FAF621"/>
    <w:rsid w:val="75369E6D"/>
    <w:rsid w:val="754E6CD4"/>
    <w:rsid w:val="76225E6B"/>
    <w:rsid w:val="763B76EE"/>
    <w:rsid w:val="764FE9E5"/>
    <w:rsid w:val="76F8749C"/>
    <w:rsid w:val="770D5F12"/>
    <w:rsid w:val="7730C481"/>
    <w:rsid w:val="7745A2B8"/>
    <w:rsid w:val="778239C1"/>
    <w:rsid w:val="77A2B0A3"/>
    <w:rsid w:val="7843F324"/>
    <w:rsid w:val="78B6F4FF"/>
    <w:rsid w:val="792E45BE"/>
    <w:rsid w:val="794504ED"/>
    <w:rsid w:val="79D26FCE"/>
    <w:rsid w:val="79F19126"/>
    <w:rsid w:val="7A5A044F"/>
    <w:rsid w:val="7AA9F0A0"/>
    <w:rsid w:val="7AED9C34"/>
    <w:rsid w:val="7AEFA69A"/>
    <w:rsid w:val="7AF007DD"/>
    <w:rsid w:val="7B09429F"/>
    <w:rsid w:val="7BB6FC87"/>
    <w:rsid w:val="7BFF2E43"/>
    <w:rsid w:val="7C18210C"/>
    <w:rsid w:val="7CE867C1"/>
    <w:rsid w:val="7D1E986D"/>
    <w:rsid w:val="7D685DCC"/>
    <w:rsid w:val="7D79B337"/>
    <w:rsid w:val="7D962BAE"/>
    <w:rsid w:val="7D98D4EE"/>
    <w:rsid w:val="7DD6FA15"/>
    <w:rsid w:val="7DF6EC99"/>
    <w:rsid w:val="7E979834"/>
    <w:rsid w:val="7F3F8F3E"/>
    <w:rsid w:val="7FB1BD39"/>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3AFB158"/>
  <w15:chartTrackingRefBased/>
  <w15:docId w15:val="{CAF73148-AE60-4DA2-B771-5E0AFE8B8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9"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61AA"/>
    <w:pPr>
      <w:spacing w:after="200" w:line="276" w:lineRule="auto"/>
    </w:pPr>
    <w:rPr>
      <w:sz w:val="22"/>
      <w:szCs w:val="22"/>
      <w:lang w:eastAsia="en-US"/>
    </w:rPr>
  </w:style>
  <w:style w:type="paragraph" w:styleId="Titre2">
    <w:name w:val="heading 2"/>
    <w:basedOn w:val="Normal"/>
    <w:link w:val="Titre2Car"/>
    <w:uiPriority w:val="9"/>
    <w:qFormat/>
    <w:locked/>
    <w:rsid w:val="00D12722"/>
    <w:pPr>
      <w:spacing w:before="100" w:beforeAutospacing="1" w:after="100" w:afterAutospacing="1" w:line="240" w:lineRule="auto"/>
      <w:outlineLvl w:val="1"/>
    </w:pPr>
    <w:rPr>
      <w:rFonts w:ascii="Times New Roman" w:eastAsia="Times New Roman" w:hAnsi="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B11D1"/>
    <w:pPr>
      <w:ind w:left="720"/>
      <w:contextualSpacing/>
    </w:pPr>
  </w:style>
  <w:style w:type="paragraph" w:styleId="Explorateurdedocuments">
    <w:name w:val="Document Map"/>
    <w:basedOn w:val="Normal"/>
    <w:link w:val="ExplorateurdedocumentsCar"/>
    <w:uiPriority w:val="99"/>
    <w:semiHidden/>
    <w:rsid w:val="00CD2E1C"/>
    <w:pPr>
      <w:shd w:val="clear" w:color="auto" w:fill="000080"/>
    </w:pPr>
    <w:rPr>
      <w:rFonts w:ascii="Tahoma" w:hAnsi="Tahoma" w:cs="Tahoma"/>
      <w:sz w:val="20"/>
      <w:szCs w:val="20"/>
    </w:rPr>
  </w:style>
  <w:style w:type="character" w:customStyle="1" w:styleId="ExplorateurdedocumentsCar">
    <w:name w:val="Explorateur de documents Car"/>
    <w:link w:val="Explorateurdedocuments"/>
    <w:uiPriority w:val="99"/>
    <w:semiHidden/>
    <w:rsid w:val="00666430"/>
    <w:rPr>
      <w:rFonts w:ascii="Times New Roman" w:hAnsi="Times New Roman"/>
      <w:sz w:val="0"/>
      <w:szCs w:val="0"/>
      <w:lang w:eastAsia="en-US"/>
    </w:rPr>
  </w:style>
  <w:style w:type="character" w:styleId="Lienhypertexte">
    <w:name w:val="Hyperlink"/>
    <w:uiPriority w:val="99"/>
    <w:rsid w:val="00CD2E1C"/>
    <w:rPr>
      <w:rFonts w:cs="Times New Roman"/>
      <w:color w:val="0000FF"/>
      <w:u w:val="single"/>
    </w:rPr>
  </w:style>
  <w:style w:type="paragraph" w:styleId="Textedebulles">
    <w:name w:val="Balloon Text"/>
    <w:basedOn w:val="Normal"/>
    <w:link w:val="TextedebullesCar"/>
    <w:uiPriority w:val="99"/>
    <w:semiHidden/>
    <w:unhideWhenUsed/>
    <w:rsid w:val="009149AC"/>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9149AC"/>
    <w:rPr>
      <w:rFonts w:ascii="Tahoma" w:hAnsi="Tahoma" w:cs="Tahoma"/>
      <w:sz w:val="16"/>
      <w:szCs w:val="16"/>
      <w:lang w:eastAsia="en-US"/>
    </w:rPr>
  </w:style>
  <w:style w:type="paragraph" w:styleId="En-tte">
    <w:name w:val="header"/>
    <w:basedOn w:val="Normal"/>
    <w:link w:val="En-tteCar"/>
    <w:uiPriority w:val="99"/>
    <w:unhideWhenUsed/>
    <w:rsid w:val="00A02228"/>
    <w:pPr>
      <w:tabs>
        <w:tab w:val="center" w:pos="4536"/>
        <w:tab w:val="right" w:pos="9072"/>
      </w:tabs>
    </w:pPr>
  </w:style>
  <w:style w:type="character" w:customStyle="1" w:styleId="En-tteCar">
    <w:name w:val="En-tête Car"/>
    <w:link w:val="En-tte"/>
    <w:uiPriority w:val="99"/>
    <w:rsid w:val="00A02228"/>
    <w:rPr>
      <w:sz w:val="22"/>
      <w:szCs w:val="22"/>
      <w:lang w:eastAsia="en-US"/>
    </w:rPr>
  </w:style>
  <w:style w:type="paragraph" w:styleId="Pieddepage">
    <w:name w:val="footer"/>
    <w:basedOn w:val="Normal"/>
    <w:link w:val="PieddepageCar"/>
    <w:uiPriority w:val="99"/>
    <w:unhideWhenUsed/>
    <w:rsid w:val="00A02228"/>
    <w:pPr>
      <w:tabs>
        <w:tab w:val="center" w:pos="4536"/>
        <w:tab w:val="right" w:pos="9072"/>
      </w:tabs>
    </w:pPr>
  </w:style>
  <w:style w:type="character" w:customStyle="1" w:styleId="PieddepageCar">
    <w:name w:val="Pied de page Car"/>
    <w:link w:val="Pieddepage"/>
    <w:uiPriority w:val="99"/>
    <w:rsid w:val="00A02228"/>
    <w:rPr>
      <w:sz w:val="22"/>
      <w:szCs w:val="22"/>
      <w:lang w:eastAsia="en-US"/>
    </w:rPr>
  </w:style>
  <w:style w:type="paragraph" w:styleId="NormalWeb">
    <w:name w:val="Normal (Web)"/>
    <w:basedOn w:val="Normal"/>
    <w:uiPriority w:val="99"/>
    <w:unhideWhenUsed/>
    <w:rsid w:val="00D228C3"/>
    <w:pPr>
      <w:spacing w:before="100" w:beforeAutospacing="1" w:after="100" w:afterAutospacing="1" w:line="240" w:lineRule="auto"/>
    </w:pPr>
    <w:rPr>
      <w:rFonts w:ascii="Times New Roman" w:eastAsia="Times New Roman" w:hAnsi="Times New Roman"/>
      <w:sz w:val="24"/>
      <w:szCs w:val="24"/>
      <w:lang w:eastAsia="fr-FR"/>
    </w:rPr>
  </w:style>
  <w:style w:type="character" w:styleId="Marquedecommentaire">
    <w:name w:val="annotation reference"/>
    <w:uiPriority w:val="99"/>
    <w:semiHidden/>
    <w:unhideWhenUsed/>
    <w:rsid w:val="00DB1A56"/>
    <w:rPr>
      <w:sz w:val="16"/>
      <w:szCs w:val="16"/>
    </w:rPr>
  </w:style>
  <w:style w:type="paragraph" w:styleId="Commentaire">
    <w:name w:val="annotation text"/>
    <w:basedOn w:val="Normal"/>
    <w:link w:val="CommentaireCar"/>
    <w:uiPriority w:val="99"/>
    <w:semiHidden/>
    <w:unhideWhenUsed/>
    <w:rsid w:val="00DB1A56"/>
    <w:pPr>
      <w:spacing w:after="0" w:line="240" w:lineRule="auto"/>
      <w:jc w:val="both"/>
    </w:pPr>
    <w:rPr>
      <w:rFonts w:ascii="Arial" w:eastAsia="Times New Roman" w:hAnsi="Arial"/>
      <w:sz w:val="20"/>
      <w:szCs w:val="20"/>
    </w:rPr>
  </w:style>
  <w:style w:type="character" w:customStyle="1" w:styleId="CommentaireCar">
    <w:name w:val="Commentaire Car"/>
    <w:link w:val="Commentaire"/>
    <w:uiPriority w:val="99"/>
    <w:semiHidden/>
    <w:rsid w:val="00DB1A56"/>
    <w:rPr>
      <w:rFonts w:ascii="Arial" w:eastAsia="Times New Roman" w:hAnsi="Arial"/>
      <w:lang w:eastAsia="en-US"/>
    </w:rPr>
  </w:style>
  <w:style w:type="paragraph" w:styleId="Rvision">
    <w:name w:val="Revision"/>
    <w:hidden/>
    <w:uiPriority w:val="99"/>
    <w:semiHidden/>
    <w:rsid w:val="00032804"/>
    <w:rPr>
      <w:sz w:val="22"/>
      <w:szCs w:val="22"/>
      <w:lang w:eastAsia="en-US"/>
    </w:rPr>
  </w:style>
  <w:style w:type="paragraph" w:customStyle="1" w:styleId="Default">
    <w:name w:val="Default"/>
    <w:rsid w:val="00F76B70"/>
    <w:pPr>
      <w:autoSpaceDE w:val="0"/>
      <w:autoSpaceDN w:val="0"/>
      <w:adjustRightInd w:val="0"/>
    </w:pPr>
    <w:rPr>
      <w:rFonts w:ascii="Arial" w:hAnsi="Arial" w:cs="Arial"/>
      <w:color w:val="000000"/>
      <w:sz w:val="24"/>
      <w:szCs w:val="24"/>
    </w:rPr>
  </w:style>
  <w:style w:type="paragraph" w:styleId="Objetducommentaire">
    <w:name w:val="annotation subject"/>
    <w:basedOn w:val="Commentaire"/>
    <w:next w:val="Commentaire"/>
    <w:link w:val="ObjetducommentaireCar"/>
    <w:uiPriority w:val="99"/>
    <w:semiHidden/>
    <w:unhideWhenUsed/>
    <w:rsid w:val="007F4864"/>
    <w:pPr>
      <w:spacing w:after="200" w:line="276" w:lineRule="auto"/>
      <w:jc w:val="left"/>
    </w:pPr>
    <w:rPr>
      <w:rFonts w:ascii="Calibri" w:eastAsia="Calibri" w:hAnsi="Calibri"/>
      <w:b/>
      <w:bCs/>
    </w:rPr>
  </w:style>
  <w:style w:type="character" w:customStyle="1" w:styleId="ObjetducommentaireCar">
    <w:name w:val="Objet du commentaire Car"/>
    <w:link w:val="Objetducommentaire"/>
    <w:uiPriority w:val="99"/>
    <w:semiHidden/>
    <w:rsid w:val="007F4864"/>
    <w:rPr>
      <w:rFonts w:ascii="Arial" w:eastAsia="Times New Roman" w:hAnsi="Arial"/>
      <w:b/>
      <w:bCs/>
      <w:lang w:eastAsia="en-US"/>
    </w:rPr>
  </w:style>
  <w:style w:type="paragraph" w:styleId="Notedebasdepage">
    <w:name w:val="footnote text"/>
    <w:basedOn w:val="Normal"/>
    <w:link w:val="NotedebasdepageCar"/>
    <w:uiPriority w:val="99"/>
    <w:semiHidden/>
    <w:unhideWhenUsed/>
    <w:rsid w:val="00095258"/>
    <w:rPr>
      <w:sz w:val="20"/>
      <w:szCs w:val="20"/>
    </w:rPr>
  </w:style>
  <w:style w:type="character" w:customStyle="1" w:styleId="NotedebasdepageCar">
    <w:name w:val="Note de bas de page Car"/>
    <w:link w:val="Notedebasdepage"/>
    <w:uiPriority w:val="99"/>
    <w:semiHidden/>
    <w:rsid w:val="00095258"/>
    <w:rPr>
      <w:lang w:eastAsia="en-US"/>
    </w:rPr>
  </w:style>
  <w:style w:type="character" w:styleId="Appelnotedebasdep">
    <w:name w:val="footnote reference"/>
    <w:uiPriority w:val="99"/>
    <w:semiHidden/>
    <w:unhideWhenUsed/>
    <w:rsid w:val="00095258"/>
    <w:rPr>
      <w:vertAlign w:val="superscript"/>
    </w:rPr>
  </w:style>
  <w:style w:type="table" w:styleId="Grilledutableau">
    <w:name w:val="Table Grid"/>
    <w:basedOn w:val="TableauNormal"/>
    <w:locked/>
    <w:rsid w:val="002009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link w:val="Titre2"/>
    <w:uiPriority w:val="9"/>
    <w:rsid w:val="00D12722"/>
    <w:rPr>
      <w:rFonts w:ascii="Times New Roman" w:eastAsia="Times New Roman" w:hAnsi="Times New Roman"/>
      <w:b/>
      <w:bCs/>
      <w:sz w:val="36"/>
      <w:szCs w:val="36"/>
    </w:rPr>
  </w:style>
  <w:style w:type="character" w:customStyle="1" w:styleId="Mentionnonrsolue1">
    <w:name w:val="Mention non résolue1"/>
    <w:uiPriority w:val="99"/>
    <w:semiHidden/>
    <w:unhideWhenUsed/>
    <w:rsid w:val="00A50452"/>
    <w:rPr>
      <w:color w:val="808080"/>
      <w:shd w:val="clear" w:color="auto" w:fill="E6E6E6"/>
    </w:rPr>
  </w:style>
  <w:style w:type="character" w:styleId="lev">
    <w:name w:val="Strong"/>
    <w:qFormat/>
    <w:locked/>
    <w:rsid w:val="007B45C5"/>
    <w:rPr>
      <w:b/>
      <w:bCs/>
    </w:rPr>
  </w:style>
  <w:style w:type="paragraph" w:styleId="Corpsdetexte">
    <w:name w:val="Body Text"/>
    <w:basedOn w:val="Normal"/>
    <w:link w:val="CorpsdetexteCar"/>
    <w:uiPriority w:val="1"/>
    <w:qFormat/>
    <w:rsid w:val="000B345C"/>
    <w:pPr>
      <w:widowControl w:val="0"/>
      <w:autoSpaceDE w:val="0"/>
      <w:autoSpaceDN w:val="0"/>
      <w:spacing w:after="0" w:line="240" w:lineRule="auto"/>
    </w:pPr>
    <w:rPr>
      <w:rFonts w:cs="Calibri"/>
    </w:rPr>
  </w:style>
  <w:style w:type="character" w:customStyle="1" w:styleId="CorpsdetexteCar">
    <w:name w:val="Corps de texte Car"/>
    <w:basedOn w:val="Policepardfaut"/>
    <w:link w:val="Corpsdetexte"/>
    <w:uiPriority w:val="1"/>
    <w:rsid w:val="000B345C"/>
    <w:rPr>
      <w:rFonts w:cs="Calibri"/>
      <w:sz w:val="22"/>
      <w:szCs w:val="22"/>
      <w:lang w:eastAsia="en-US"/>
    </w:rPr>
  </w:style>
  <w:style w:type="character" w:styleId="Lienhypertextesuivivisit">
    <w:name w:val="FollowedHyperlink"/>
    <w:basedOn w:val="Policepardfaut"/>
    <w:uiPriority w:val="99"/>
    <w:semiHidden/>
    <w:unhideWhenUsed/>
    <w:rsid w:val="008879E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387991">
      <w:bodyDiv w:val="1"/>
      <w:marLeft w:val="0"/>
      <w:marRight w:val="0"/>
      <w:marTop w:val="0"/>
      <w:marBottom w:val="0"/>
      <w:divBdr>
        <w:top w:val="none" w:sz="0" w:space="0" w:color="auto"/>
        <w:left w:val="none" w:sz="0" w:space="0" w:color="auto"/>
        <w:bottom w:val="none" w:sz="0" w:space="0" w:color="auto"/>
        <w:right w:val="none" w:sz="0" w:space="0" w:color="auto"/>
      </w:divBdr>
    </w:div>
    <w:div w:id="159583205">
      <w:bodyDiv w:val="1"/>
      <w:marLeft w:val="0"/>
      <w:marRight w:val="0"/>
      <w:marTop w:val="0"/>
      <w:marBottom w:val="0"/>
      <w:divBdr>
        <w:top w:val="none" w:sz="0" w:space="0" w:color="auto"/>
        <w:left w:val="none" w:sz="0" w:space="0" w:color="auto"/>
        <w:bottom w:val="none" w:sz="0" w:space="0" w:color="auto"/>
        <w:right w:val="none" w:sz="0" w:space="0" w:color="auto"/>
      </w:divBdr>
    </w:div>
    <w:div w:id="167062117">
      <w:bodyDiv w:val="1"/>
      <w:marLeft w:val="0"/>
      <w:marRight w:val="0"/>
      <w:marTop w:val="0"/>
      <w:marBottom w:val="0"/>
      <w:divBdr>
        <w:top w:val="none" w:sz="0" w:space="0" w:color="auto"/>
        <w:left w:val="none" w:sz="0" w:space="0" w:color="auto"/>
        <w:bottom w:val="none" w:sz="0" w:space="0" w:color="auto"/>
        <w:right w:val="none" w:sz="0" w:space="0" w:color="auto"/>
      </w:divBdr>
    </w:div>
    <w:div w:id="269170811">
      <w:bodyDiv w:val="1"/>
      <w:marLeft w:val="0"/>
      <w:marRight w:val="0"/>
      <w:marTop w:val="0"/>
      <w:marBottom w:val="0"/>
      <w:divBdr>
        <w:top w:val="none" w:sz="0" w:space="0" w:color="auto"/>
        <w:left w:val="none" w:sz="0" w:space="0" w:color="auto"/>
        <w:bottom w:val="none" w:sz="0" w:space="0" w:color="auto"/>
        <w:right w:val="none" w:sz="0" w:space="0" w:color="auto"/>
      </w:divBdr>
    </w:div>
    <w:div w:id="342905723">
      <w:bodyDiv w:val="1"/>
      <w:marLeft w:val="0"/>
      <w:marRight w:val="0"/>
      <w:marTop w:val="0"/>
      <w:marBottom w:val="0"/>
      <w:divBdr>
        <w:top w:val="none" w:sz="0" w:space="0" w:color="auto"/>
        <w:left w:val="none" w:sz="0" w:space="0" w:color="auto"/>
        <w:bottom w:val="none" w:sz="0" w:space="0" w:color="auto"/>
        <w:right w:val="none" w:sz="0" w:space="0" w:color="auto"/>
      </w:divBdr>
    </w:div>
    <w:div w:id="374041811">
      <w:bodyDiv w:val="1"/>
      <w:marLeft w:val="0"/>
      <w:marRight w:val="0"/>
      <w:marTop w:val="0"/>
      <w:marBottom w:val="0"/>
      <w:divBdr>
        <w:top w:val="none" w:sz="0" w:space="0" w:color="auto"/>
        <w:left w:val="none" w:sz="0" w:space="0" w:color="auto"/>
        <w:bottom w:val="none" w:sz="0" w:space="0" w:color="auto"/>
        <w:right w:val="none" w:sz="0" w:space="0" w:color="auto"/>
      </w:divBdr>
    </w:div>
    <w:div w:id="502863807">
      <w:bodyDiv w:val="1"/>
      <w:marLeft w:val="0"/>
      <w:marRight w:val="0"/>
      <w:marTop w:val="0"/>
      <w:marBottom w:val="0"/>
      <w:divBdr>
        <w:top w:val="none" w:sz="0" w:space="0" w:color="auto"/>
        <w:left w:val="none" w:sz="0" w:space="0" w:color="auto"/>
        <w:bottom w:val="none" w:sz="0" w:space="0" w:color="auto"/>
        <w:right w:val="none" w:sz="0" w:space="0" w:color="auto"/>
      </w:divBdr>
    </w:div>
    <w:div w:id="597638552">
      <w:bodyDiv w:val="1"/>
      <w:marLeft w:val="0"/>
      <w:marRight w:val="0"/>
      <w:marTop w:val="0"/>
      <w:marBottom w:val="0"/>
      <w:divBdr>
        <w:top w:val="none" w:sz="0" w:space="0" w:color="auto"/>
        <w:left w:val="none" w:sz="0" w:space="0" w:color="auto"/>
        <w:bottom w:val="none" w:sz="0" w:space="0" w:color="auto"/>
        <w:right w:val="none" w:sz="0" w:space="0" w:color="auto"/>
      </w:divBdr>
    </w:div>
    <w:div w:id="730496822">
      <w:bodyDiv w:val="1"/>
      <w:marLeft w:val="0"/>
      <w:marRight w:val="0"/>
      <w:marTop w:val="0"/>
      <w:marBottom w:val="0"/>
      <w:divBdr>
        <w:top w:val="none" w:sz="0" w:space="0" w:color="auto"/>
        <w:left w:val="none" w:sz="0" w:space="0" w:color="auto"/>
        <w:bottom w:val="none" w:sz="0" w:space="0" w:color="auto"/>
        <w:right w:val="none" w:sz="0" w:space="0" w:color="auto"/>
      </w:divBdr>
    </w:div>
    <w:div w:id="743600721">
      <w:bodyDiv w:val="1"/>
      <w:marLeft w:val="0"/>
      <w:marRight w:val="0"/>
      <w:marTop w:val="0"/>
      <w:marBottom w:val="0"/>
      <w:divBdr>
        <w:top w:val="none" w:sz="0" w:space="0" w:color="auto"/>
        <w:left w:val="none" w:sz="0" w:space="0" w:color="auto"/>
        <w:bottom w:val="none" w:sz="0" w:space="0" w:color="auto"/>
        <w:right w:val="none" w:sz="0" w:space="0" w:color="auto"/>
      </w:divBdr>
    </w:div>
    <w:div w:id="759637609">
      <w:bodyDiv w:val="1"/>
      <w:marLeft w:val="0"/>
      <w:marRight w:val="0"/>
      <w:marTop w:val="0"/>
      <w:marBottom w:val="0"/>
      <w:divBdr>
        <w:top w:val="none" w:sz="0" w:space="0" w:color="auto"/>
        <w:left w:val="none" w:sz="0" w:space="0" w:color="auto"/>
        <w:bottom w:val="none" w:sz="0" w:space="0" w:color="auto"/>
        <w:right w:val="none" w:sz="0" w:space="0" w:color="auto"/>
      </w:divBdr>
    </w:div>
    <w:div w:id="785077551">
      <w:bodyDiv w:val="1"/>
      <w:marLeft w:val="0"/>
      <w:marRight w:val="0"/>
      <w:marTop w:val="0"/>
      <w:marBottom w:val="0"/>
      <w:divBdr>
        <w:top w:val="none" w:sz="0" w:space="0" w:color="auto"/>
        <w:left w:val="none" w:sz="0" w:space="0" w:color="auto"/>
        <w:bottom w:val="none" w:sz="0" w:space="0" w:color="auto"/>
        <w:right w:val="none" w:sz="0" w:space="0" w:color="auto"/>
      </w:divBdr>
    </w:div>
    <w:div w:id="799765003">
      <w:bodyDiv w:val="1"/>
      <w:marLeft w:val="0"/>
      <w:marRight w:val="0"/>
      <w:marTop w:val="0"/>
      <w:marBottom w:val="0"/>
      <w:divBdr>
        <w:top w:val="none" w:sz="0" w:space="0" w:color="auto"/>
        <w:left w:val="none" w:sz="0" w:space="0" w:color="auto"/>
        <w:bottom w:val="none" w:sz="0" w:space="0" w:color="auto"/>
        <w:right w:val="none" w:sz="0" w:space="0" w:color="auto"/>
      </w:divBdr>
    </w:div>
    <w:div w:id="898636130">
      <w:bodyDiv w:val="1"/>
      <w:marLeft w:val="0"/>
      <w:marRight w:val="0"/>
      <w:marTop w:val="0"/>
      <w:marBottom w:val="0"/>
      <w:divBdr>
        <w:top w:val="none" w:sz="0" w:space="0" w:color="auto"/>
        <w:left w:val="none" w:sz="0" w:space="0" w:color="auto"/>
        <w:bottom w:val="none" w:sz="0" w:space="0" w:color="auto"/>
        <w:right w:val="none" w:sz="0" w:space="0" w:color="auto"/>
      </w:divBdr>
    </w:div>
    <w:div w:id="921259005">
      <w:bodyDiv w:val="1"/>
      <w:marLeft w:val="0"/>
      <w:marRight w:val="0"/>
      <w:marTop w:val="0"/>
      <w:marBottom w:val="0"/>
      <w:divBdr>
        <w:top w:val="none" w:sz="0" w:space="0" w:color="auto"/>
        <w:left w:val="none" w:sz="0" w:space="0" w:color="auto"/>
        <w:bottom w:val="none" w:sz="0" w:space="0" w:color="auto"/>
        <w:right w:val="none" w:sz="0" w:space="0" w:color="auto"/>
      </w:divBdr>
    </w:div>
    <w:div w:id="954756074">
      <w:bodyDiv w:val="1"/>
      <w:marLeft w:val="0"/>
      <w:marRight w:val="0"/>
      <w:marTop w:val="0"/>
      <w:marBottom w:val="0"/>
      <w:divBdr>
        <w:top w:val="none" w:sz="0" w:space="0" w:color="auto"/>
        <w:left w:val="none" w:sz="0" w:space="0" w:color="auto"/>
        <w:bottom w:val="none" w:sz="0" w:space="0" w:color="auto"/>
        <w:right w:val="none" w:sz="0" w:space="0" w:color="auto"/>
      </w:divBdr>
    </w:div>
    <w:div w:id="1055618635">
      <w:bodyDiv w:val="1"/>
      <w:marLeft w:val="0"/>
      <w:marRight w:val="0"/>
      <w:marTop w:val="0"/>
      <w:marBottom w:val="0"/>
      <w:divBdr>
        <w:top w:val="none" w:sz="0" w:space="0" w:color="auto"/>
        <w:left w:val="none" w:sz="0" w:space="0" w:color="auto"/>
        <w:bottom w:val="none" w:sz="0" w:space="0" w:color="auto"/>
        <w:right w:val="none" w:sz="0" w:space="0" w:color="auto"/>
      </w:divBdr>
    </w:div>
    <w:div w:id="1062675989">
      <w:bodyDiv w:val="1"/>
      <w:marLeft w:val="0"/>
      <w:marRight w:val="0"/>
      <w:marTop w:val="0"/>
      <w:marBottom w:val="0"/>
      <w:divBdr>
        <w:top w:val="none" w:sz="0" w:space="0" w:color="auto"/>
        <w:left w:val="none" w:sz="0" w:space="0" w:color="auto"/>
        <w:bottom w:val="none" w:sz="0" w:space="0" w:color="auto"/>
        <w:right w:val="none" w:sz="0" w:space="0" w:color="auto"/>
      </w:divBdr>
    </w:div>
    <w:div w:id="1274241074">
      <w:bodyDiv w:val="1"/>
      <w:marLeft w:val="0"/>
      <w:marRight w:val="0"/>
      <w:marTop w:val="0"/>
      <w:marBottom w:val="0"/>
      <w:divBdr>
        <w:top w:val="none" w:sz="0" w:space="0" w:color="auto"/>
        <w:left w:val="none" w:sz="0" w:space="0" w:color="auto"/>
        <w:bottom w:val="none" w:sz="0" w:space="0" w:color="auto"/>
        <w:right w:val="none" w:sz="0" w:space="0" w:color="auto"/>
      </w:divBdr>
      <w:divsChild>
        <w:div w:id="2002195232">
          <w:marLeft w:val="0"/>
          <w:marRight w:val="0"/>
          <w:marTop w:val="0"/>
          <w:marBottom w:val="0"/>
          <w:divBdr>
            <w:top w:val="none" w:sz="0" w:space="0" w:color="auto"/>
            <w:left w:val="none" w:sz="0" w:space="0" w:color="auto"/>
            <w:bottom w:val="none" w:sz="0" w:space="0" w:color="auto"/>
            <w:right w:val="none" w:sz="0" w:space="0" w:color="auto"/>
          </w:divBdr>
        </w:div>
      </w:divsChild>
    </w:div>
    <w:div w:id="1286885972">
      <w:bodyDiv w:val="1"/>
      <w:marLeft w:val="0"/>
      <w:marRight w:val="0"/>
      <w:marTop w:val="0"/>
      <w:marBottom w:val="0"/>
      <w:divBdr>
        <w:top w:val="none" w:sz="0" w:space="0" w:color="auto"/>
        <w:left w:val="none" w:sz="0" w:space="0" w:color="auto"/>
        <w:bottom w:val="none" w:sz="0" w:space="0" w:color="auto"/>
        <w:right w:val="none" w:sz="0" w:space="0" w:color="auto"/>
      </w:divBdr>
    </w:div>
    <w:div w:id="1306010744">
      <w:bodyDiv w:val="1"/>
      <w:marLeft w:val="0"/>
      <w:marRight w:val="0"/>
      <w:marTop w:val="0"/>
      <w:marBottom w:val="0"/>
      <w:divBdr>
        <w:top w:val="none" w:sz="0" w:space="0" w:color="auto"/>
        <w:left w:val="none" w:sz="0" w:space="0" w:color="auto"/>
        <w:bottom w:val="none" w:sz="0" w:space="0" w:color="auto"/>
        <w:right w:val="none" w:sz="0" w:space="0" w:color="auto"/>
      </w:divBdr>
    </w:div>
    <w:div w:id="1350526056">
      <w:bodyDiv w:val="1"/>
      <w:marLeft w:val="0"/>
      <w:marRight w:val="0"/>
      <w:marTop w:val="0"/>
      <w:marBottom w:val="0"/>
      <w:divBdr>
        <w:top w:val="none" w:sz="0" w:space="0" w:color="auto"/>
        <w:left w:val="none" w:sz="0" w:space="0" w:color="auto"/>
        <w:bottom w:val="none" w:sz="0" w:space="0" w:color="auto"/>
        <w:right w:val="none" w:sz="0" w:space="0" w:color="auto"/>
      </w:divBdr>
    </w:div>
    <w:div w:id="1515344327">
      <w:marLeft w:val="0"/>
      <w:marRight w:val="0"/>
      <w:marTop w:val="0"/>
      <w:marBottom w:val="0"/>
      <w:divBdr>
        <w:top w:val="none" w:sz="0" w:space="0" w:color="auto"/>
        <w:left w:val="none" w:sz="0" w:space="0" w:color="auto"/>
        <w:bottom w:val="none" w:sz="0" w:space="0" w:color="auto"/>
        <w:right w:val="none" w:sz="0" w:space="0" w:color="auto"/>
      </w:divBdr>
    </w:div>
    <w:div w:id="1515344328">
      <w:marLeft w:val="0"/>
      <w:marRight w:val="0"/>
      <w:marTop w:val="0"/>
      <w:marBottom w:val="0"/>
      <w:divBdr>
        <w:top w:val="none" w:sz="0" w:space="0" w:color="auto"/>
        <w:left w:val="none" w:sz="0" w:space="0" w:color="auto"/>
        <w:bottom w:val="none" w:sz="0" w:space="0" w:color="auto"/>
        <w:right w:val="none" w:sz="0" w:space="0" w:color="auto"/>
      </w:divBdr>
    </w:div>
    <w:div w:id="1515344329">
      <w:marLeft w:val="0"/>
      <w:marRight w:val="0"/>
      <w:marTop w:val="0"/>
      <w:marBottom w:val="0"/>
      <w:divBdr>
        <w:top w:val="none" w:sz="0" w:space="0" w:color="auto"/>
        <w:left w:val="none" w:sz="0" w:space="0" w:color="auto"/>
        <w:bottom w:val="none" w:sz="0" w:space="0" w:color="auto"/>
        <w:right w:val="none" w:sz="0" w:space="0" w:color="auto"/>
      </w:divBdr>
    </w:div>
    <w:div w:id="1515344330">
      <w:marLeft w:val="0"/>
      <w:marRight w:val="0"/>
      <w:marTop w:val="0"/>
      <w:marBottom w:val="0"/>
      <w:divBdr>
        <w:top w:val="none" w:sz="0" w:space="0" w:color="auto"/>
        <w:left w:val="none" w:sz="0" w:space="0" w:color="auto"/>
        <w:bottom w:val="none" w:sz="0" w:space="0" w:color="auto"/>
        <w:right w:val="none" w:sz="0" w:space="0" w:color="auto"/>
      </w:divBdr>
    </w:div>
    <w:div w:id="1515344331">
      <w:marLeft w:val="0"/>
      <w:marRight w:val="0"/>
      <w:marTop w:val="0"/>
      <w:marBottom w:val="0"/>
      <w:divBdr>
        <w:top w:val="none" w:sz="0" w:space="0" w:color="auto"/>
        <w:left w:val="none" w:sz="0" w:space="0" w:color="auto"/>
        <w:bottom w:val="none" w:sz="0" w:space="0" w:color="auto"/>
        <w:right w:val="none" w:sz="0" w:space="0" w:color="auto"/>
      </w:divBdr>
    </w:div>
    <w:div w:id="1515344332">
      <w:marLeft w:val="0"/>
      <w:marRight w:val="0"/>
      <w:marTop w:val="0"/>
      <w:marBottom w:val="0"/>
      <w:divBdr>
        <w:top w:val="none" w:sz="0" w:space="0" w:color="auto"/>
        <w:left w:val="none" w:sz="0" w:space="0" w:color="auto"/>
        <w:bottom w:val="none" w:sz="0" w:space="0" w:color="auto"/>
        <w:right w:val="none" w:sz="0" w:space="0" w:color="auto"/>
      </w:divBdr>
    </w:div>
    <w:div w:id="1559437326">
      <w:bodyDiv w:val="1"/>
      <w:marLeft w:val="0"/>
      <w:marRight w:val="0"/>
      <w:marTop w:val="0"/>
      <w:marBottom w:val="0"/>
      <w:divBdr>
        <w:top w:val="none" w:sz="0" w:space="0" w:color="auto"/>
        <w:left w:val="none" w:sz="0" w:space="0" w:color="auto"/>
        <w:bottom w:val="none" w:sz="0" w:space="0" w:color="auto"/>
        <w:right w:val="none" w:sz="0" w:space="0" w:color="auto"/>
      </w:divBdr>
    </w:div>
    <w:div w:id="1574656610">
      <w:bodyDiv w:val="1"/>
      <w:marLeft w:val="0"/>
      <w:marRight w:val="0"/>
      <w:marTop w:val="0"/>
      <w:marBottom w:val="0"/>
      <w:divBdr>
        <w:top w:val="none" w:sz="0" w:space="0" w:color="auto"/>
        <w:left w:val="none" w:sz="0" w:space="0" w:color="auto"/>
        <w:bottom w:val="none" w:sz="0" w:space="0" w:color="auto"/>
        <w:right w:val="none" w:sz="0" w:space="0" w:color="auto"/>
      </w:divBdr>
    </w:div>
    <w:div w:id="1627930416">
      <w:bodyDiv w:val="1"/>
      <w:marLeft w:val="0"/>
      <w:marRight w:val="0"/>
      <w:marTop w:val="0"/>
      <w:marBottom w:val="0"/>
      <w:divBdr>
        <w:top w:val="none" w:sz="0" w:space="0" w:color="auto"/>
        <w:left w:val="none" w:sz="0" w:space="0" w:color="auto"/>
        <w:bottom w:val="none" w:sz="0" w:space="0" w:color="auto"/>
        <w:right w:val="none" w:sz="0" w:space="0" w:color="auto"/>
      </w:divBdr>
    </w:div>
    <w:div w:id="1668247178">
      <w:bodyDiv w:val="1"/>
      <w:marLeft w:val="0"/>
      <w:marRight w:val="0"/>
      <w:marTop w:val="0"/>
      <w:marBottom w:val="0"/>
      <w:divBdr>
        <w:top w:val="none" w:sz="0" w:space="0" w:color="auto"/>
        <w:left w:val="none" w:sz="0" w:space="0" w:color="auto"/>
        <w:bottom w:val="none" w:sz="0" w:space="0" w:color="auto"/>
        <w:right w:val="none" w:sz="0" w:space="0" w:color="auto"/>
      </w:divBdr>
    </w:div>
    <w:div w:id="1726219926">
      <w:bodyDiv w:val="1"/>
      <w:marLeft w:val="0"/>
      <w:marRight w:val="0"/>
      <w:marTop w:val="0"/>
      <w:marBottom w:val="0"/>
      <w:divBdr>
        <w:top w:val="none" w:sz="0" w:space="0" w:color="auto"/>
        <w:left w:val="none" w:sz="0" w:space="0" w:color="auto"/>
        <w:bottom w:val="none" w:sz="0" w:space="0" w:color="auto"/>
        <w:right w:val="none" w:sz="0" w:space="0" w:color="auto"/>
      </w:divBdr>
    </w:div>
    <w:div w:id="1757628356">
      <w:bodyDiv w:val="1"/>
      <w:marLeft w:val="0"/>
      <w:marRight w:val="0"/>
      <w:marTop w:val="0"/>
      <w:marBottom w:val="0"/>
      <w:divBdr>
        <w:top w:val="none" w:sz="0" w:space="0" w:color="auto"/>
        <w:left w:val="none" w:sz="0" w:space="0" w:color="auto"/>
        <w:bottom w:val="none" w:sz="0" w:space="0" w:color="auto"/>
        <w:right w:val="none" w:sz="0" w:space="0" w:color="auto"/>
      </w:divBdr>
    </w:div>
    <w:div w:id="1795637122">
      <w:bodyDiv w:val="1"/>
      <w:marLeft w:val="0"/>
      <w:marRight w:val="0"/>
      <w:marTop w:val="0"/>
      <w:marBottom w:val="0"/>
      <w:divBdr>
        <w:top w:val="none" w:sz="0" w:space="0" w:color="auto"/>
        <w:left w:val="none" w:sz="0" w:space="0" w:color="auto"/>
        <w:bottom w:val="none" w:sz="0" w:space="0" w:color="auto"/>
        <w:right w:val="none" w:sz="0" w:space="0" w:color="auto"/>
      </w:divBdr>
    </w:div>
    <w:div w:id="1874951431">
      <w:bodyDiv w:val="1"/>
      <w:marLeft w:val="0"/>
      <w:marRight w:val="0"/>
      <w:marTop w:val="0"/>
      <w:marBottom w:val="0"/>
      <w:divBdr>
        <w:top w:val="none" w:sz="0" w:space="0" w:color="auto"/>
        <w:left w:val="none" w:sz="0" w:space="0" w:color="auto"/>
        <w:bottom w:val="none" w:sz="0" w:space="0" w:color="auto"/>
        <w:right w:val="none" w:sz="0" w:space="0" w:color="auto"/>
      </w:divBdr>
    </w:div>
    <w:div w:id="1928466023">
      <w:bodyDiv w:val="1"/>
      <w:marLeft w:val="0"/>
      <w:marRight w:val="0"/>
      <w:marTop w:val="0"/>
      <w:marBottom w:val="0"/>
      <w:divBdr>
        <w:top w:val="none" w:sz="0" w:space="0" w:color="auto"/>
        <w:left w:val="none" w:sz="0" w:space="0" w:color="auto"/>
        <w:bottom w:val="none" w:sz="0" w:space="0" w:color="auto"/>
        <w:right w:val="none" w:sz="0" w:space="0" w:color="auto"/>
      </w:divBdr>
    </w:div>
    <w:div w:id="2048097245">
      <w:bodyDiv w:val="1"/>
      <w:marLeft w:val="0"/>
      <w:marRight w:val="0"/>
      <w:marTop w:val="0"/>
      <w:marBottom w:val="0"/>
      <w:divBdr>
        <w:top w:val="none" w:sz="0" w:space="0" w:color="auto"/>
        <w:left w:val="none" w:sz="0" w:space="0" w:color="auto"/>
        <w:bottom w:val="none" w:sz="0" w:space="0" w:color="auto"/>
        <w:right w:val="none" w:sz="0" w:space="0" w:color="auto"/>
      </w:divBdr>
    </w:div>
    <w:div w:id="2127044978">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6"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DF37A1-FD9F-40D0-9A10-5DF1C0DFA5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2438</Words>
  <Characters>13409</Characters>
  <Application>Microsoft Office Word</Application>
  <DocSecurity>0</DocSecurity>
  <Lines>111</Lines>
  <Paragraphs>31</Paragraphs>
  <ScaleCrop>false</ScaleCrop>
  <Company>Microsoft</Company>
  <LinksUpToDate>false</LinksUpToDate>
  <CharactersWithSpaces>15816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Windows</dc:creator>
  <cp:keywords>, docId:2C0C57F0F798C60865A03787563062B4</cp:keywords>
  <cp:lastModifiedBy>Justin ARANDA-SANCHEZ</cp:lastModifiedBy>
  <cp:revision>13</cp:revision>
  <cp:lastPrinted>2023-06-30T01:42:00Z</cp:lastPrinted>
  <dcterms:created xsi:type="dcterms:W3CDTF">2025-06-17T03:00:00Z</dcterms:created>
  <dcterms:modified xsi:type="dcterms:W3CDTF">2025-06-16T19:48:00Z</dcterms:modified>
</cp:coreProperties>
</file>